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2977E" w14:textId="77777777" w:rsidR="00307E6C" w:rsidRDefault="00307E6C" w:rsidP="00A72FF3">
      <w:pPr>
        <w:spacing w:after="0" w:line="341" w:lineRule="auto"/>
        <w:ind w:left="6312" w:firstLine="0"/>
        <w:jc w:val="right"/>
      </w:pPr>
    </w:p>
    <w:p w14:paraId="2017BDE7" w14:textId="48405E68" w:rsidR="00A72FF3" w:rsidRDefault="00AD4276" w:rsidP="00A72FF3">
      <w:pPr>
        <w:spacing w:after="0" w:line="341" w:lineRule="auto"/>
        <w:ind w:left="6312" w:firstLine="0"/>
        <w:jc w:val="right"/>
      </w:pPr>
      <w:r>
        <w:t>事</w:t>
      </w:r>
      <w:r w:rsidR="00A72FF3">
        <w:rPr>
          <w:rFonts w:hint="eastAsia"/>
        </w:rPr>
        <w:t xml:space="preserve">　</w:t>
      </w:r>
      <w:r>
        <w:t>務</w:t>
      </w:r>
      <w:r w:rsidR="00A72FF3">
        <w:rPr>
          <w:rFonts w:hint="eastAsia"/>
        </w:rPr>
        <w:t xml:space="preserve">　</w:t>
      </w:r>
      <w:r>
        <w:t>連</w:t>
      </w:r>
      <w:r w:rsidR="00A72FF3">
        <w:rPr>
          <w:rFonts w:hint="eastAsia"/>
        </w:rPr>
        <w:t xml:space="preserve">　</w:t>
      </w:r>
      <w:r>
        <w:t>絡</w:t>
      </w:r>
    </w:p>
    <w:p w14:paraId="23F4A501" w14:textId="2E3CD348" w:rsidR="00957278" w:rsidRDefault="00AD4276" w:rsidP="00A72FF3">
      <w:pPr>
        <w:spacing w:after="0" w:line="341" w:lineRule="auto"/>
        <w:ind w:left="6312" w:firstLine="0"/>
        <w:jc w:val="right"/>
      </w:pPr>
      <w:r>
        <w:t>令和</w:t>
      </w:r>
      <w:r w:rsidR="00A72FF3">
        <w:rPr>
          <w:rFonts w:hint="eastAsia"/>
        </w:rPr>
        <w:t>６</w:t>
      </w:r>
      <w:r>
        <w:t xml:space="preserve">年 </w:t>
      </w:r>
      <w:r w:rsidR="00A72FF3">
        <w:rPr>
          <w:rFonts w:hint="eastAsia"/>
        </w:rPr>
        <w:t>４</w:t>
      </w:r>
      <w:r>
        <w:t xml:space="preserve">月 </w:t>
      </w:r>
      <w:r w:rsidR="00A72FF3">
        <w:rPr>
          <w:rFonts w:hint="eastAsia"/>
        </w:rPr>
        <w:t>２</w:t>
      </w:r>
      <w:r>
        <w:t>日</w:t>
      </w:r>
    </w:p>
    <w:p w14:paraId="7B6AD374" w14:textId="6D6844D8" w:rsidR="00957278" w:rsidRDefault="00AD4276">
      <w:pPr>
        <w:pStyle w:val="1"/>
      </w:pPr>
      <w:r>
        <w:t>令和</w:t>
      </w:r>
      <w:r w:rsidR="004129B4">
        <w:rPr>
          <w:rFonts w:hint="eastAsia"/>
        </w:rPr>
        <w:t>６</w:t>
      </w:r>
      <w:r>
        <w:t>年度の基本報酬及び各種加算の届出に関するお知らせ</w:t>
      </w:r>
    </w:p>
    <w:p w14:paraId="4C3EFCE8" w14:textId="77777777" w:rsidR="00957278" w:rsidRDefault="00AD4276">
      <w:pPr>
        <w:spacing w:after="353"/>
        <w:ind w:left="0" w:right="0" w:firstLine="259"/>
      </w:pPr>
      <w:r>
        <w:t>障害福祉サービス事業における年度当初の基本報酬及び各種加算の届出に関しては、下記のとおりです。</w:t>
      </w:r>
    </w:p>
    <w:p w14:paraId="27791C2F" w14:textId="754398DF" w:rsidR="00957278" w:rsidRDefault="00AD4276">
      <w:pPr>
        <w:spacing w:after="351"/>
        <w:ind w:left="0" w:right="0" w:firstLine="252"/>
      </w:pPr>
      <w:r>
        <w:t>特に就労系サービス事業所においては、前年度及び前々年度の実績に応じて当該年度の基本報酬の算定区分が決まることから、当該算定区分の変更の有無に関わらず、令和</w:t>
      </w:r>
      <w:r w:rsidR="00E6600C">
        <w:rPr>
          <w:rFonts w:hint="eastAsia"/>
        </w:rPr>
        <w:t>６</w:t>
      </w:r>
      <w:r>
        <w:t>年度の基本報酬に係る届出を行う必要があります。</w:t>
      </w:r>
    </w:p>
    <w:p w14:paraId="6C3B10FC" w14:textId="77777777" w:rsidR="00957278" w:rsidRDefault="00AD4276">
      <w:pPr>
        <w:spacing w:after="427" w:line="265" w:lineRule="auto"/>
        <w:ind w:left="132" w:right="245" w:hanging="10"/>
        <w:jc w:val="center"/>
      </w:pPr>
      <w:r>
        <w:t>記</w:t>
      </w:r>
    </w:p>
    <w:p w14:paraId="3107928D" w14:textId="77777777" w:rsidR="00957278" w:rsidRDefault="00AD4276">
      <w:pPr>
        <w:pStyle w:val="2"/>
        <w:spacing w:after="449"/>
        <w:ind w:left="-5"/>
      </w:pPr>
      <w:r>
        <w:t>１ 基本報酬について</w:t>
      </w:r>
    </w:p>
    <w:p w14:paraId="180DE41B" w14:textId="07400715" w:rsidR="00A72FF3" w:rsidRDefault="00AD4276" w:rsidP="00E91123">
      <w:pPr>
        <w:numPr>
          <w:ilvl w:val="0"/>
          <w:numId w:val="1"/>
        </w:numPr>
        <w:spacing w:after="383"/>
        <w:ind w:right="0" w:hanging="504"/>
      </w:pPr>
      <w:r>
        <w:t>就労系サービス：就労移行支援、就労継続支援Ａ型・Ｂ型、就労定着支援</w:t>
      </w:r>
    </w:p>
    <w:p w14:paraId="17698ADA" w14:textId="1E5D6419" w:rsidR="00F32E63" w:rsidRDefault="00F32E63" w:rsidP="00F32E63">
      <w:pPr>
        <w:pStyle w:val="3"/>
        <w:ind w:left="245" w:right="0"/>
      </w:pPr>
      <w:r w:rsidRPr="00A72FF3">
        <w:rPr>
          <w:rFonts w:hint="eastAsia"/>
          <w:color w:val="FF0000"/>
        </w:rPr>
        <w:t>※就労継続支援A型事業所</w:t>
      </w:r>
      <w:r>
        <w:rPr>
          <w:rFonts w:hint="eastAsia"/>
          <w:color w:val="FF0000"/>
        </w:rPr>
        <w:t>は、</w:t>
      </w:r>
      <w:r w:rsidRPr="00A72FF3">
        <w:rPr>
          <w:rFonts w:hint="eastAsia"/>
          <w:color w:val="FF0000"/>
        </w:rPr>
        <w:t>基本報酬</w:t>
      </w:r>
      <w:r w:rsidR="00B51FDA">
        <w:rPr>
          <w:rFonts w:hint="eastAsia"/>
          <w:color w:val="FF0000"/>
        </w:rPr>
        <w:t>に係る資料</w:t>
      </w:r>
      <w:r w:rsidRPr="00A72FF3">
        <w:rPr>
          <w:rFonts w:hint="eastAsia"/>
          <w:color w:val="FF0000"/>
        </w:rPr>
        <w:t>を必ず提出ください。</w:t>
      </w:r>
      <w:r w:rsidR="0000783D">
        <w:rPr>
          <w:rFonts w:hint="eastAsia"/>
          <w:color w:val="FF0000"/>
        </w:rPr>
        <w:t>スコア表の提出とともに必要書類、</w:t>
      </w:r>
      <w:r>
        <w:rPr>
          <w:rFonts w:hint="eastAsia"/>
          <w:color w:val="FF0000"/>
        </w:rPr>
        <w:t>提出資料（４）を参照</w:t>
      </w:r>
      <w:r w:rsidR="00B51FDA">
        <w:rPr>
          <w:rFonts w:hint="eastAsia"/>
          <w:color w:val="FF0000"/>
        </w:rPr>
        <w:t>うえ提出ください</w:t>
      </w:r>
      <w:r>
        <w:rPr>
          <w:rFonts w:hint="eastAsia"/>
          <w:color w:val="FF0000"/>
        </w:rPr>
        <w:t>。</w:t>
      </w:r>
    </w:p>
    <w:p w14:paraId="5CF0A7FD" w14:textId="77777777" w:rsidR="00F32E63" w:rsidRPr="00F32E63" w:rsidRDefault="00F32E63" w:rsidP="00F32E63">
      <w:pPr>
        <w:spacing w:after="383"/>
        <w:ind w:left="754" w:right="0" w:firstLine="0"/>
      </w:pPr>
    </w:p>
    <w:p w14:paraId="04B8903F" w14:textId="304C1B8A" w:rsidR="00957278" w:rsidRDefault="00AD4276">
      <w:pPr>
        <w:numPr>
          <w:ilvl w:val="0"/>
          <w:numId w:val="1"/>
        </w:numPr>
        <w:spacing w:after="95" w:line="259" w:lineRule="auto"/>
        <w:ind w:right="0" w:hanging="504"/>
      </w:pPr>
      <w:r>
        <w:t>提出期限：令和</w:t>
      </w:r>
      <w:r w:rsidR="00CE3B9C">
        <w:rPr>
          <w:rFonts w:hint="eastAsia"/>
        </w:rPr>
        <w:t>６</w:t>
      </w:r>
      <w:r>
        <w:t>年４月15日</w:t>
      </w:r>
    </w:p>
    <w:p w14:paraId="378284FF" w14:textId="77777777" w:rsidR="00957278" w:rsidRDefault="00AD4276">
      <w:pPr>
        <w:spacing w:after="351"/>
        <w:ind w:left="2265" w:right="0" w:hanging="247"/>
      </w:pPr>
      <w:r>
        <w:t>※電子申請での提出となり、郵送、メール及びＦＡＸでの届出は受け付けません。</w:t>
      </w:r>
    </w:p>
    <w:p w14:paraId="1999BD84" w14:textId="77777777" w:rsidR="0050047F" w:rsidRDefault="00AD4276">
      <w:pPr>
        <w:pStyle w:val="3"/>
        <w:ind w:left="245" w:right="0"/>
      </w:pPr>
      <w:r>
        <w:t>⑶ 届出の取扱い</w:t>
      </w:r>
    </w:p>
    <w:p w14:paraId="253508C0" w14:textId="42B0F452" w:rsidR="00957278" w:rsidRDefault="00AD4276" w:rsidP="0050047F">
      <w:pPr>
        <w:pStyle w:val="3"/>
        <w:ind w:left="245" w:right="0" w:firstLineChars="200" w:firstLine="480"/>
      </w:pPr>
      <w:r>
        <w:t>ア 算定区分が変更となる場合（単位数が増えるものに限る。）</w:t>
      </w:r>
    </w:p>
    <w:p w14:paraId="7E9D669E" w14:textId="77777777" w:rsidR="00957278" w:rsidRDefault="00AD4276">
      <w:pPr>
        <w:numPr>
          <w:ilvl w:val="0"/>
          <w:numId w:val="2"/>
        </w:numPr>
        <w:ind w:right="0" w:hanging="377"/>
      </w:pPr>
      <w:r>
        <w:t>提出期限までに届出がなされた場合には４月１日から算定を開始するものとします。</w:t>
      </w:r>
    </w:p>
    <w:p w14:paraId="7776B66D" w14:textId="48EF31C4" w:rsidR="00957278" w:rsidRDefault="00AD4276">
      <w:pPr>
        <w:numPr>
          <w:ilvl w:val="0"/>
          <w:numId w:val="2"/>
        </w:numPr>
        <w:ind w:right="0" w:hanging="377"/>
      </w:pPr>
      <w:r>
        <w:t>令和</w:t>
      </w:r>
      <w:r w:rsidR="00CE3B9C">
        <w:rPr>
          <w:rFonts w:hint="eastAsia"/>
        </w:rPr>
        <w:t>６</w:t>
      </w:r>
      <w:r>
        <w:t>年４月16日から４月30日までに届出がなされた場合は、５月1日から算定を開始するものとします。</w:t>
      </w:r>
    </w:p>
    <w:p w14:paraId="20417DB1" w14:textId="22F5B51A" w:rsidR="00957278" w:rsidRDefault="00AD4276">
      <w:pPr>
        <w:numPr>
          <w:ilvl w:val="0"/>
          <w:numId w:val="2"/>
        </w:numPr>
        <w:ind w:right="0" w:hanging="377"/>
      </w:pPr>
      <w:r>
        <w:t>令和</w:t>
      </w:r>
      <w:r w:rsidR="00CE3B9C">
        <w:rPr>
          <w:rFonts w:hint="eastAsia"/>
        </w:rPr>
        <w:t>６</w:t>
      </w:r>
      <w:r>
        <w:t>年５月１日以降に届出がなされた場合は、従前どおりの取扱いとします。</w:t>
      </w:r>
    </w:p>
    <w:p w14:paraId="0B7FC027" w14:textId="77777777" w:rsidR="00957278" w:rsidRDefault="00AD4276">
      <w:pPr>
        <w:pStyle w:val="3"/>
        <w:ind w:left="512" w:right="0"/>
      </w:pPr>
      <w:r>
        <w:lastRenderedPageBreak/>
        <w:t>イ 算定区分が変更となる場合（単位数が減るものに限る。）</w:t>
      </w:r>
    </w:p>
    <w:p w14:paraId="70208AF9" w14:textId="77777777" w:rsidR="003C7E55" w:rsidRDefault="00AD4276">
      <w:pPr>
        <w:ind w:left="487" w:right="0" w:firstLine="506"/>
        <w:rPr>
          <w:u w:val="single" w:color="000000"/>
        </w:rPr>
      </w:pPr>
      <w:r>
        <w:t>４月１日から変更後の算定となります。</w:t>
      </w:r>
      <w:r>
        <w:rPr>
          <w:u w:val="single" w:color="000000"/>
        </w:rPr>
        <w:t>届出を行わず、従前の基本報酬の算定区分で当該請求を行った場合は、不正請求となりますのでご留意ください。</w:t>
      </w:r>
    </w:p>
    <w:p w14:paraId="3EFB4B45" w14:textId="559C817D" w:rsidR="00957278" w:rsidRDefault="00AD4276" w:rsidP="003C7E55">
      <w:pPr>
        <w:ind w:left="487" w:right="0" w:firstLine="0"/>
      </w:pPr>
      <w:r>
        <w:t>ウ 算定区分が変わらない場合前年度の平均利用者数や前年度の工賃（賃金）実績等の確認のため、必ず下記⑷の提出書類をそろえ届出を行ってください。</w:t>
      </w:r>
    </w:p>
    <w:p w14:paraId="78D5D762" w14:textId="77777777" w:rsidR="00E91123" w:rsidRDefault="00AD4276">
      <w:pPr>
        <w:pStyle w:val="3"/>
        <w:ind w:left="245" w:right="0"/>
      </w:pPr>
      <w:r>
        <w:t>⑷ 提出書類</w:t>
      </w:r>
    </w:p>
    <w:p w14:paraId="6DD3B18D" w14:textId="77777777" w:rsidR="002766F3" w:rsidRDefault="00AD4276">
      <w:pPr>
        <w:ind w:left="495"/>
      </w:pPr>
      <w:r>
        <w:t>ア 介護給付等算定に係る体制等に関する届出書</w:t>
      </w:r>
    </w:p>
    <w:p w14:paraId="16FF2ECE" w14:textId="77777777" w:rsidR="002766F3" w:rsidRDefault="00AD4276">
      <w:pPr>
        <w:ind w:left="495"/>
      </w:pPr>
      <w:r>
        <w:t>イ 介護給付費等の算定に係る体制等状況一覧表</w:t>
      </w:r>
    </w:p>
    <w:p w14:paraId="51B6B0F8" w14:textId="6D4F51BA" w:rsidR="00957278" w:rsidRDefault="00AD4276">
      <w:pPr>
        <w:ind w:left="495"/>
      </w:pPr>
      <w:r>
        <w:t>ウ 各サービスごとの基本報酬に係る届出様式就労継続支援については、参考様式16（前年度の工賃実績額）及び実績に用いた該当年度分の参考様式16も提出してください。</w:t>
      </w:r>
    </w:p>
    <w:p w14:paraId="68B00CCF" w14:textId="77777777" w:rsidR="00957278" w:rsidRDefault="00AD4276">
      <w:pPr>
        <w:spacing w:after="383"/>
        <w:ind w:left="495" w:right="0"/>
      </w:pPr>
      <w:r>
        <w:t>エ 従業者の勤務の体制及び勤務一覧表</w:t>
      </w:r>
    </w:p>
    <w:p w14:paraId="6124BA96" w14:textId="77777777" w:rsidR="00957278" w:rsidRDefault="00AD4276">
      <w:pPr>
        <w:spacing w:after="71" w:line="259" w:lineRule="auto"/>
        <w:ind w:left="258" w:right="0"/>
      </w:pPr>
      <w:r>
        <w:t>【就労移行支援】</w:t>
      </w:r>
    </w:p>
    <w:p w14:paraId="5916EC53" w14:textId="77777777" w:rsidR="00957278" w:rsidRDefault="00AD4276">
      <w:pPr>
        <w:spacing w:after="351"/>
        <w:ind w:left="487" w:right="0" w:firstLine="252"/>
      </w:pPr>
      <w:r>
        <w:t>「前年度において就職後6か月以上定着した者の割合（就労定着率）」としている基本報酬の区分の決定に係る実績について、</w:t>
      </w:r>
      <w:r>
        <w:rPr>
          <w:u w:val="single" w:color="000000"/>
        </w:rPr>
        <w:t>直近２か年度</w:t>
      </w:r>
      <w:r>
        <w:t>の実績により算定。</w:t>
      </w:r>
    </w:p>
    <w:p w14:paraId="5F751234" w14:textId="77777777" w:rsidR="00957278" w:rsidRDefault="00AD4276">
      <w:pPr>
        <w:spacing w:after="68" w:line="259" w:lineRule="auto"/>
        <w:ind w:left="258" w:right="0"/>
      </w:pPr>
      <w:r>
        <w:t>【就労継続支援Ａ型】</w:t>
      </w:r>
    </w:p>
    <w:p w14:paraId="29483DDE" w14:textId="7DFEEB91" w:rsidR="00957278" w:rsidRDefault="00AD4276">
      <w:pPr>
        <w:ind w:left="487" w:right="0" w:firstLine="252"/>
      </w:pPr>
      <w:r>
        <w:t>「１日の平均労働時間」に加え､「生産活動」､「多様な働き方」､「支援力向上」及び「地域連携活動」</w:t>
      </w:r>
      <w:r w:rsidR="002766F3">
        <w:rPr>
          <w:rFonts w:hint="eastAsia"/>
        </w:rPr>
        <w:t>等</w:t>
      </w:r>
      <w:r>
        <w:t>から成る各評価項目の総</w:t>
      </w:r>
      <w:r>
        <w:rPr>
          <w:sz w:val="23"/>
        </w:rPr>
        <w:t>合評価をもって実績とする方式（スコア方式）に応じて算定。</w:t>
      </w:r>
    </w:p>
    <w:p w14:paraId="537A337B" w14:textId="77777777" w:rsidR="00957278" w:rsidRDefault="00AD4276">
      <w:pPr>
        <w:ind w:left="487" w:right="0" w:firstLine="252"/>
      </w:pPr>
      <w:r>
        <w:rPr>
          <w:sz w:val="23"/>
        </w:rPr>
        <w:t>また、１年に１回以上</w:t>
      </w:r>
      <w:r>
        <w:t>スコア方式による評価内容を事業所ホームページ等を通じて、全て公表することを事業所に義務づけるとともに、未公表の場合には減算</w:t>
      </w:r>
    </w:p>
    <w:p w14:paraId="1215DA9D" w14:textId="77777777" w:rsidR="00957278" w:rsidRDefault="00AD4276">
      <w:pPr>
        <w:spacing w:after="361"/>
        <w:ind w:left="495" w:right="0"/>
      </w:pPr>
      <w:r>
        <w:t>（自己評価未公表減算）が適用。</w:t>
      </w:r>
    </w:p>
    <w:p w14:paraId="6B708635" w14:textId="77777777" w:rsidR="00957278" w:rsidRDefault="00AD4276">
      <w:pPr>
        <w:spacing w:after="68" w:line="259" w:lineRule="auto"/>
        <w:ind w:left="258" w:right="0"/>
      </w:pPr>
      <w:r>
        <w:t>【就労継続支援Ｂ型】</w:t>
      </w:r>
    </w:p>
    <w:p w14:paraId="56D9A2E7" w14:textId="77777777" w:rsidR="00957278" w:rsidRDefault="00AD4276">
      <w:pPr>
        <w:ind w:left="487" w:right="0" w:firstLine="252"/>
      </w:pPr>
      <w:r>
        <w:t>「平均工賃月額」に応じて評価する報酬体系と「利用者の就労や生産活動等への参加等」をもって一律に評価する報酬体系があり、事業所はいずれかの報酬体系を選択し、年度途中での変更は不可となる。</w:t>
      </w:r>
    </w:p>
    <w:p w14:paraId="7005DCD8" w14:textId="2B80683F" w:rsidR="00CE3B9C" w:rsidRDefault="00AD4276" w:rsidP="003C7E55">
      <w:pPr>
        <w:ind w:left="487" w:right="0" w:firstLine="252"/>
      </w:pPr>
      <w:r>
        <w:t>なお、「平均工賃月額」に応じた報酬体系を選択した場合は、事業所は令和</w:t>
      </w:r>
      <w:r w:rsidR="002766F3">
        <w:rPr>
          <w:rFonts w:hint="eastAsia"/>
        </w:rPr>
        <w:t>６</w:t>
      </w:r>
      <w:r>
        <w:t>年４月までに「工賃向上計画」を作成し、令和</w:t>
      </w:r>
      <w:r w:rsidR="002766F3">
        <w:rPr>
          <w:rFonts w:hint="eastAsia"/>
        </w:rPr>
        <w:t>６</w:t>
      </w:r>
      <w:r>
        <w:t>年</w:t>
      </w:r>
      <w:r w:rsidR="000B66B4">
        <w:rPr>
          <w:rFonts w:hint="eastAsia"/>
        </w:rPr>
        <w:t>５</w:t>
      </w:r>
      <w:r>
        <w:t>月</w:t>
      </w:r>
      <w:r w:rsidR="000B66B4">
        <w:rPr>
          <w:rFonts w:hint="eastAsia"/>
        </w:rPr>
        <w:t>末</w:t>
      </w:r>
      <w:r w:rsidR="002766F3">
        <w:rPr>
          <w:rFonts w:hint="eastAsia"/>
        </w:rPr>
        <w:t>日</w:t>
      </w:r>
      <w:r>
        <w:t>までに都道府県へ提出する必要がある。</w:t>
      </w:r>
    </w:p>
    <w:p w14:paraId="4B30D9C3" w14:textId="77777777" w:rsidR="003C7E55" w:rsidRDefault="003C7E55" w:rsidP="003C7E55">
      <w:pPr>
        <w:ind w:left="487" w:right="0" w:firstLine="252"/>
      </w:pPr>
    </w:p>
    <w:p w14:paraId="3AA4B91F" w14:textId="77777777" w:rsidR="003C7E55" w:rsidRDefault="003C7E55" w:rsidP="003C7E55">
      <w:pPr>
        <w:ind w:left="487" w:right="0" w:firstLine="252"/>
        <w:rPr>
          <w:rFonts w:hint="eastAsia"/>
        </w:rPr>
      </w:pPr>
    </w:p>
    <w:p w14:paraId="7C6C941A" w14:textId="14647EC9" w:rsidR="00957278" w:rsidRDefault="00AD4276">
      <w:pPr>
        <w:spacing w:after="68" w:line="259" w:lineRule="auto"/>
        <w:ind w:left="258" w:right="0"/>
      </w:pPr>
      <w:r>
        <w:t>【就労定着支援】</w:t>
      </w:r>
    </w:p>
    <w:p w14:paraId="6C7A9364" w14:textId="77777777" w:rsidR="00957278" w:rsidRDefault="00AD4276">
      <w:pPr>
        <w:spacing w:after="353"/>
        <w:ind w:left="487" w:right="0" w:firstLine="252"/>
      </w:pPr>
      <w:r>
        <w:t>支援内容を記載した報告書を月１回以上利用者及び関係者へ提供することが要件となる。</w:t>
      </w:r>
    </w:p>
    <w:p w14:paraId="09283DBA" w14:textId="67D4C6AF" w:rsidR="00D64E36" w:rsidRPr="00D64E36" w:rsidRDefault="00AD4276" w:rsidP="00D64E36">
      <w:pPr>
        <w:pStyle w:val="2"/>
        <w:ind w:left="-5"/>
      </w:pPr>
      <w:r>
        <w:t>２ 各種加算に係る届出について</w:t>
      </w:r>
    </w:p>
    <w:p w14:paraId="7292347F" w14:textId="4CB9AC52" w:rsidR="00957278" w:rsidRDefault="00AD4276">
      <w:pPr>
        <w:pStyle w:val="3"/>
        <w:spacing w:after="0" w:line="341" w:lineRule="auto"/>
        <w:ind w:left="739" w:right="646" w:hanging="504"/>
      </w:pPr>
      <w:r>
        <w:t xml:space="preserve">⑴ </w:t>
      </w:r>
      <w:r w:rsidR="00D64E36">
        <w:rPr>
          <w:rFonts w:hint="eastAsia"/>
        </w:rPr>
        <w:t>報酬改定に係る加算についての</w:t>
      </w:r>
      <w:r>
        <w:t>提出期限：令和</w:t>
      </w:r>
      <w:r w:rsidR="00CE3B9C">
        <w:rPr>
          <w:rFonts w:hint="eastAsia"/>
        </w:rPr>
        <w:t>６</w:t>
      </w:r>
      <w:r>
        <w:t>年４月15日</w:t>
      </w:r>
    </w:p>
    <w:p w14:paraId="6DF4E345" w14:textId="0587B1CA" w:rsidR="00957278" w:rsidRDefault="00AD4276" w:rsidP="00D64E36">
      <w:pPr>
        <w:spacing w:after="353"/>
        <w:ind w:leftChars="-31" w:left="0" w:right="0" w:hangingChars="31" w:hanging="74"/>
      </w:pPr>
      <w:r>
        <w:t>※電子申請での提出となり、郵送、メール及びＦＡＸでの届出は受け付けません。</w:t>
      </w:r>
    </w:p>
    <w:p w14:paraId="3C47F8E7" w14:textId="0140FEE5" w:rsidR="00D64E36" w:rsidRDefault="00D64E36" w:rsidP="00D64E36">
      <w:pPr>
        <w:pStyle w:val="3"/>
        <w:spacing w:after="0" w:line="341" w:lineRule="auto"/>
        <w:ind w:left="739" w:right="646" w:hanging="504"/>
      </w:pPr>
      <w:r>
        <w:rPr>
          <w:rFonts w:hint="eastAsia"/>
        </w:rPr>
        <w:t>⑵</w:t>
      </w:r>
      <w:r>
        <w:t xml:space="preserve"> 前年度の実績に基づき算定する加算について提出期限：令和</w:t>
      </w:r>
      <w:r>
        <w:rPr>
          <w:rFonts w:hint="eastAsia"/>
        </w:rPr>
        <w:t>６</w:t>
      </w:r>
      <w:r>
        <w:t>年４月15日</w:t>
      </w:r>
    </w:p>
    <w:p w14:paraId="1EB3CAC6" w14:textId="30249B39" w:rsidR="00D64E36" w:rsidRDefault="00D64E36" w:rsidP="00D64E36">
      <w:pPr>
        <w:spacing w:after="353"/>
        <w:ind w:left="0" w:right="0" w:firstLine="0"/>
      </w:pPr>
      <w:r>
        <w:t>※電子申請での提出となり、郵送、メール及びＦＡＸでの届出は受け付けません</w:t>
      </w:r>
    </w:p>
    <w:p w14:paraId="01CC9C6C" w14:textId="77777777" w:rsidR="00957278" w:rsidRDefault="00AD4276">
      <w:pPr>
        <w:spacing w:after="0" w:line="341" w:lineRule="auto"/>
        <w:ind w:left="754" w:right="0" w:hanging="252"/>
      </w:pPr>
      <w:r>
        <w:t>ア 前年度の実績に基づき、新たに加算を算定する場合又は加算区分が変更となる場合（単位数が増えるものに限る。）</w:t>
      </w:r>
    </w:p>
    <w:p w14:paraId="21998160" w14:textId="77777777" w:rsidR="00957278" w:rsidRDefault="00AD4276">
      <w:pPr>
        <w:spacing w:after="68" w:line="259" w:lineRule="auto"/>
        <w:ind w:left="1014" w:right="0"/>
      </w:pPr>
      <w:r>
        <w:t>前記１の⑶のアの取扱いと同様とする。</w:t>
      </w:r>
    </w:p>
    <w:p w14:paraId="190504D0" w14:textId="77777777" w:rsidR="00957278" w:rsidRDefault="00AD4276">
      <w:pPr>
        <w:pStyle w:val="3"/>
        <w:spacing w:after="0" w:line="343" w:lineRule="auto"/>
        <w:ind w:left="754" w:right="0" w:hanging="252"/>
      </w:pPr>
      <w:r>
        <w:t>イ 前年度の実績に基づき、加算が算定されなくなる場合又は加算区分が変更となる場合（単位数が減るものに限る。）</w:t>
      </w:r>
    </w:p>
    <w:p w14:paraId="70966E3C" w14:textId="77777777" w:rsidR="00957278" w:rsidRDefault="00AD4276">
      <w:pPr>
        <w:spacing w:after="68" w:line="259" w:lineRule="auto"/>
        <w:ind w:left="1014" w:right="0"/>
      </w:pPr>
      <w:r>
        <w:t>前記１の⑶のイの取扱いと同様とする。</w:t>
      </w:r>
    </w:p>
    <w:p w14:paraId="560FE95C" w14:textId="77777777" w:rsidR="00957278" w:rsidRDefault="00AD4276">
      <w:pPr>
        <w:spacing w:after="449" w:line="265" w:lineRule="auto"/>
        <w:ind w:left="512" w:right="0" w:hanging="10"/>
      </w:pPr>
      <w:r>
        <w:t>ウ 前年度の実績に基づき、変更がない場合は届出は不要とする。</w:t>
      </w:r>
    </w:p>
    <w:p w14:paraId="3B78481D" w14:textId="27E6AB62" w:rsidR="00957278" w:rsidRDefault="00AD4276" w:rsidP="00D64E36">
      <w:pPr>
        <w:pStyle w:val="3"/>
        <w:numPr>
          <w:ilvl w:val="0"/>
          <w:numId w:val="1"/>
        </w:numPr>
        <w:ind w:left="284" w:right="0" w:firstLine="283"/>
      </w:pPr>
      <w:r>
        <w:t>その他の加算について</w:t>
      </w:r>
    </w:p>
    <w:p w14:paraId="10734446" w14:textId="19BF0FF6" w:rsidR="00957278" w:rsidRDefault="00AD4276">
      <w:pPr>
        <w:spacing w:line="259" w:lineRule="auto"/>
        <w:ind w:left="762" w:right="0"/>
      </w:pPr>
      <w:r>
        <w:t>従前どおりの取扱いとなります。</w:t>
      </w:r>
    </w:p>
    <w:p w14:paraId="310EECB3" w14:textId="41BC3347" w:rsidR="00957278" w:rsidRDefault="00957278">
      <w:pPr>
        <w:spacing w:after="603" w:line="259" w:lineRule="auto"/>
        <w:ind w:left="554" w:right="0" w:firstLine="0"/>
      </w:pPr>
    </w:p>
    <w:p w14:paraId="249B5C81" w14:textId="77777777" w:rsidR="00957278" w:rsidRDefault="00AD4276">
      <w:pPr>
        <w:pStyle w:val="3"/>
        <w:ind w:left="512" w:right="0"/>
      </w:pPr>
      <w:r>
        <w:t>※４月以降引き続き同じ内容の加算を算定する場合</w:t>
      </w:r>
    </w:p>
    <w:p w14:paraId="773893A8" w14:textId="77777777" w:rsidR="00957278" w:rsidRDefault="00AD4276">
      <w:pPr>
        <w:ind w:left="754" w:right="0" w:firstLine="254"/>
      </w:pPr>
      <w:r>
        <w:t>届出は不要とします。ただし、その場合も、自主点検表を作成の上、自主点検の際に作成した書類については、必ず保存をしておいてください。</w:t>
      </w:r>
    </w:p>
    <w:p w14:paraId="50858938" w14:textId="77777777" w:rsidR="00957278" w:rsidRDefault="00AD4276">
      <w:pPr>
        <w:spacing w:after="3" w:line="319" w:lineRule="auto"/>
        <w:ind w:left="754" w:right="0" w:firstLine="249"/>
      </w:pPr>
      <w:r>
        <w:rPr>
          <w:u w:val="single" w:color="000000"/>
        </w:rPr>
        <w:t>加算が算定されない又は加算区分の変更（単位数が減るものに限る。）があるにも関わらず、従前の算定区分で当該請求を行った場合は、不正請求となりますのでご留意ください。</w:t>
      </w:r>
    </w:p>
    <w:p w14:paraId="2DEE067B" w14:textId="4BD72AF9" w:rsidR="00957278" w:rsidRDefault="00AD4276" w:rsidP="00D64E36">
      <w:pPr>
        <w:pStyle w:val="3"/>
        <w:numPr>
          <w:ilvl w:val="0"/>
          <w:numId w:val="1"/>
        </w:numPr>
        <w:ind w:left="-426" w:right="0" w:firstLine="993"/>
      </w:pPr>
      <w:r>
        <w:lastRenderedPageBreak/>
        <w:t xml:space="preserve"> 提出書類</w:t>
      </w:r>
    </w:p>
    <w:p w14:paraId="05AD19A9" w14:textId="77777777" w:rsidR="00CE3B9C" w:rsidRDefault="00AD4276" w:rsidP="00CE3B9C">
      <w:pPr>
        <w:spacing w:after="0"/>
        <w:ind w:left="495" w:right="3418"/>
      </w:pPr>
      <w:r>
        <w:t>ア 介護給付費等算定に係る体制等に係る届出書</w:t>
      </w:r>
    </w:p>
    <w:p w14:paraId="6A683298" w14:textId="77777777" w:rsidR="00CE3B9C" w:rsidRDefault="00AD4276" w:rsidP="00CE3B9C">
      <w:pPr>
        <w:spacing w:after="0"/>
        <w:ind w:left="487" w:right="3418" w:firstLine="0"/>
      </w:pPr>
      <w:r>
        <w:t>イ 介護給付費等の算定に係る体制等状況一覧表</w:t>
      </w:r>
    </w:p>
    <w:p w14:paraId="1F7B6E0F" w14:textId="397220FC" w:rsidR="00957278" w:rsidRDefault="00AD4276" w:rsidP="00CE3B9C">
      <w:pPr>
        <w:spacing w:after="0"/>
        <w:ind w:left="487" w:right="3418" w:firstLine="0"/>
      </w:pPr>
      <w:r>
        <w:t>ウ 各加算に係る届出書及びその添付書類</w:t>
      </w:r>
    </w:p>
    <w:p w14:paraId="1FE87088" w14:textId="327109BD" w:rsidR="00CE3B9C" w:rsidRDefault="0000783D" w:rsidP="00CE3B9C">
      <w:pPr>
        <w:spacing w:after="0"/>
        <w:ind w:left="487" w:right="3418" w:firstLine="0"/>
      </w:pPr>
      <w:r>
        <w:rPr>
          <w:rFonts w:hint="eastAsia"/>
        </w:rPr>
        <w:t>エ　従業者の勤務の体制及び勤務一覧表</w:t>
      </w:r>
    </w:p>
    <w:p w14:paraId="5D39F2F7" w14:textId="7ED3FB95" w:rsidR="00957278" w:rsidRDefault="00AD4276" w:rsidP="00D64E36">
      <w:pPr>
        <w:pStyle w:val="3"/>
        <w:numPr>
          <w:ilvl w:val="0"/>
          <w:numId w:val="1"/>
        </w:numPr>
        <w:ind w:left="284" w:right="0"/>
      </w:pPr>
      <w:r>
        <w:t xml:space="preserve"> 電子申請等の掲載場所</w:t>
      </w:r>
    </w:p>
    <w:p w14:paraId="132ACC71" w14:textId="656851F5" w:rsidR="00957278" w:rsidRDefault="00AD4276" w:rsidP="00CE3B9C">
      <w:pPr>
        <w:ind w:left="250" w:right="0" w:firstLineChars="100" w:firstLine="240"/>
      </w:pPr>
      <w:r>
        <w:t>全ての様式や電子申請については</w:t>
      </w:r>
      <w:r w:rsidR="000B66B4">
        <w:rPr>
          <w:rFonts w:hint="eastAsia"/>
        </w:rPr>
        <w:t>障害福祉課ホームページにて</w:t>
      </w:r>
      <w:r>
        <w:t>確認できますので、そちらから申請ください。</w:t>
      </w:r>
    </w:p>
    <w:p w14:paraId="1954CD04" w14:textId="77777777" w:rsidR="00CE3B9C" w:rsidRDefault="00CE3B9C" w:rsidP="00CE3B9C">
      <w:pPr>
        <w:ind w:left="250" w:right="0" w:firstLineChars="100" w:firstLine="240"/>
      </w:pPr>
    </w:p>
    <w:p w14:paraId="3790EB67" w14:textId="4B3B9382" w:rsidR="00957278" w:rsidRDefault="00AD4276" w:rsidP="00D64E36">
      <w:pPr>
        <w:pStyle w:val="3"/>
        <w:numPr>
          <w:ilvl w:val="0"/>
          <w:numId w:val="1"/>
        </w:numPr>
        <w:ind w:left="567" w:right="0"/>
      </w:pPr>
      <w:r>
        <w:t>お問い合わせについて</w:t>
      </w:r>
    </w:p>
    <w:p w14:paraId="4DA38EC8" w14:textId="77777777" w:rsidR="00957278" w:rsidRDefault="00AD4276">
      <w:pPr>
        <w:spacing w:after="3" w:line="319" w:lineRule="auto"/>
        <w:ind w:left="362" w:right="0" w:firstLine="249"/>
      </w:pPr>
      <w:r>
        <w:t>以前よりお問い合わせについては、電子申請にて承っております。</w:t>
      </w:r>
      <w:r>
        <w:rPr>
          <w:u w:val="single" w:color="000000"/>
        </w:rPr>
        <w:t>電話や直接来課してのお問合せは対応できませんので、ご了承ください</w:t>
      </w:r>
      <w:r>
        <w:t>。</w:t>
      </w:r>
    </w:p>
    <w:p w14:paraId="16A9699F" w14:textId="6EF1FF75" w:rsidR="00957278" w:rsidRDefault="00AD4276">
      <w:pPr>
        <w:ind w:left="250" w:right="0" w:firstLine="130"/>
      </w:pPr>
      <w:r>
        <w:t>お問い合わせに関する電子申請</w:t>
      </w:r>
      <w:r w:rsidR="000B66B4">
        <w:rPr>
          <w:rFonts w:hint="eastAsia"/>
        </w:rPr>
        <w:t>にて質問票</w:t>
      </w:r>
      <w:r>
        <w:t>にて申請ください。</w:t>
      </w:r>
    </w:p>
    <w:p w14:paraId="6E7E9CDF" w14:textId="77777777" w:rsidR="000B66B4" w:rsidRPr="000B66B4" w:rsidRDefault="000B66B4">
      <w:pPr>
        <w:pStyle w:val="3"/>
        <w:ind w:left="387" w:right="0"/>
      </w:pPr>
    </w:p>
    <w:p w14:paraId="6745311F" w14:textId="208074E8" w:rsidR="00957278" w:rsidRDefault="00AD4276" w:rsidP="00D64E36">
      <w:pPr>
        <w:pStyle w:val="3"/>
        <w:numPr>
          <w:ilvl w:val="0"/>
          <w:numId w:val="1"/>
        </w:numPr>
        <w:ind w:left="567" w:right="0"/>
      </w:pPr>
      <w:r>
        <w:t>留意事項</w:t>
      </w:r>
    </w:p>
    <w:p w14:paraId="647A55EA" w14:textId="77777777" w:rsidR="00957278" w:rsidRDefault="00AD4276">
      <w:pPr>
        <w:ind w:left="495" w:right="0"/>
      </w:pPr>
      <w:r>
        <w:t>迷惑メール対策をされている事業者は、受付完了（受理完了）メールや返却のメールなどが受信できない場合があります。「@pref.okinawa.lg.jp」「@s-kantanmail.bizplat.asp.lgwan.jp」からのメールが受信できるように設定してください。</w:t>
      </w:r>
    </w:p>
    <w:sectPr w:rsidR="00957278">
      <w:footerReference w:type="even" r:id="rId7"/>
      <w:footerReference w:type="default" r:id="rId8"/>
      <w:footerReference w:type="first" r:id="rId9"/>
      <w:pgSz w:w="11906" w:h="16838"/>
      <w:pgMar w:top="1195" w:right="1048" w:bottom="1979" w:left="1169" w:header="720" w:footer="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C411F" w14:textId="77777777" w:rsidR="00AD4276" w:rsidRDefault="00AD4276">
      <w:pPr>
        <w:spacing w:after="0" w:line="240" w:lineRule="auto"/>
      </w:pPr>
      <w:r>
        <w:separator/>
      </w:r>
    </w:p>
  </w:endnote>
  <w:endnote w:type="continuationSeparator" w:id="0">
    <w:p w14:paraId="7BDE571A" w14:textId="77777777" w:rsidR="00AD4276" w:rsidRDefault="00AD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126AC" w14:textId="77777777" w:rsidR="00957278" w:rsidRDefault="00AD4276">
    <w:pPr>
      <w:spacing w:after="0" w:line="259" w:lineRule="auto"/>
      <w:ind w:left="0"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56A94" w14:textId="77777777" w:rsidR="00957278" w:rsidRDefault="00AD4276">
    <w:pPr>
      <w:spacing w:after="0" w:line="259" w:lineRule="auto"/>
      <w:ind w:left="0"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CDD1" w14:textId="77777777" w:rsidR="00957278" w:rsidRDefault="00AD4276">
    <w:pPr>
      <w:spacing w:after="0" w:line="259" w:lineRule="auto"/>
      <w:ind w:left="0"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FAAC3" w14:textId="77777777" w:rsidR="00AD4276" w:rsidRDefault="00AD4276">
      <w:pPr>
        <w:spacing w:after="0" w:line="240" w:lineRule="auto"/>
      </w:pPr>
      <w:r>
        <w:separator/>
      </w:r>
    </w:p>
  </w:footnote>
  <w:footnote w:type="continuationSeparator" w:id="0">
    <w:p w14:paraId="6856C8B2" w14:textId="77777777" w:rsidR="00AD4276" w:rsidRDefault="00AD4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7F6A"/>
    <w:multiLevelType w:val="hybridMultilevel"/>
    <w:tmpl w:val="AD74E970"/>
    <w:lvl w:ilvl="0" w:tplc="FC94708E">
      <w:start w:val="1"/>
      <w:numFmt w:val="aiueo"/>
      <w:lvlText w:val="(%1)"/>
      <w:lvlJc w:val="left"/>
      <w:pPr>
        <w:ind w:left="10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40B722">
      <w:start w:val="1"/>
      <w:numFmt w:val="lowerLetter"/>
      <w:lvlText w:val="%2"/>
      <w:lvlJc w:val="left"/>
      <w:pPr>
        <w:ind w:left="17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B643C00">
      <w:start w:val="1"/>
      <w:numFmt w:val="lowerRoman"/>
      <w:lvlText w:val="%3"/>
      <w:lvlJc w:val="left"/>
      <w:pPr>
        <w:ind w:left="24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9CB8FA">
      <w:start w:val="1"/>
      <w:numFmt w:val="decimal"/>
      <w:lvlText w:val="%4"/>
      <w:lvlJc w:val="left"/>
      <w:pPr>
        <w:ind w:left="31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1FA1172">
      <w:start w:val="1"/>
      <w:numFmt w:val="lowerLetter"/>
      <w:lvlText w:val="%5"/>
      <w:lvlJc w:val="left"/>
      <w:pPr>
        <w:ind w:left="38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388046">
      <w:start w:val="1"/>
      <w:numFmt w:val="lowerRoman"/>
      <w:lvlText w:val="%6"/>
      <w:lvlJc w:val="left"/>
      <w:pPr>
        <w:ind w:left="4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F88264E">
      <w:start w:val="1"/>
      <w:numFmt w:val="decimal"/>
      <w:lvlText w:val="%7"/>
      <w:lvlJc w:val="left"/>
      <w:pPr>
        <w:ind w:left="5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BA7604">
      <w:start w:val="1"/>
      <w:numFmt w:val="lowerLetter"/>
      <w:lvlText w:val="%8"/>
      <w:lvlJc w:val="left"/>
      <w:pPr>
        <w:ind w:left="6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5ADD04">
      <w:start w:val="1"/>
      <w:numFmt w:val="lowerRoman"/>
      <w:lvlText w:val="%9"/>
      <w:lvlJc w:val="left"/>
      <w:pPr>
        <w:ind w:left="6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7921E04"/>
    <w:multiLevelType w:val="hybridMultilevel"/>
    <w:tmpl w:val="55029770"/>
    <w:lvl w:ilvl="0" w:tplc="4530C6EC">
      <w:start w:val="1"/>
      <w:numFmt w:val="decimalEnclosedParen"/>
      <w:lvlText w:val="%1"/>
      <w:lvlJc w:val="left"/>
      <w:pPr>
        <w:ind w:left="7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C021474">
      <w:start w:val="1"/>
      <w:numFmt w:val="lowerLetter"/>
      <w:lvlText w:val="%2"/>
      <w:lvlJc w:val="left"/>
      <w:pPr>
        <w:ind w:left="13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25DA4">
      <w:start w:val="1"/>
      <w:numFmt w:val="lowerRoman"/>
      <w:lvlText w:val="%3"/>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5820F1A">
      <w:start w:val="1"/>
      <w:numFmt w:val="decimal"/>
      <w:lvlText w:val="%4"/>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9C8D666">
      <w:start w:val="1"/>
      <w:numFmt w:val="lowerLetter"/>
      <w:lvlText w:val="%5"/>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D3E2892">
      <w:start w:val="1"/>
      <w:numFmt w:val="lowerRoman"/>
      <w:lvlText w:val="%6"/>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0D8A0E8">
      <w:start w:val="1"/>
      <w:numFmt w:val="decimal"/>
      <w:lvlText w:val="%7"/>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58154C">
      <w:start w:val="1"/>
      <w:numFmt w:val="lowerLetter"/>
      <w:lvlText w:val="%8"/>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5C25F6">
      <w:start w:val="1"/>
      <w:numFmt w:val="lowerRoman"/>
      <w:lvlText w:val="%9"/>
      <w:lvlJc w:val="left"/>
      <w:pPr>
        <w:ind w:left="6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006905530">
    <w:abstractNumId w:val="1"/>
  </w:num>
  <w:num w:numId="2" w16cid:durableId="171770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278"/>
    <w:rsid w:val="0000783D"/>
    <w:rsid w:val="000B66B4"/>
    <w:rsid w:val="002766F3"/>
    <w:rsid w:val="00307E6C"/>
    <w:rsid w:val="003C7E55"/>
    <w:rsid w:val="004129B4"/>
    <w:rsid w:val="0050047F"/>
    <w:rsid w:val="00957278"/>
    <w:rsid w:val="00A72FF3"/>
    <w:rsid w:val="00AD4276"/>
    <w:rsid w:val="00B51FDA"/>
    <w:rsid w:val="00CE3B9C"/>
    <w:rsid w:val="00D64E36"/>
    <w:rsid w:val="00E6600C"/>
    <w:rsid w:val="00E91123"/>
    <w:rsid w:val="00F32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27F54"/>
  <w15:docId w15:val="{EAA228B4-B511-4E46-9D61-2190FA03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36"/>
    <w:pPr>
      <w:spacing w:after="5" w:line="331" w:lineRule="auto"/>
      <w:ind w:left="6320" w:right="120" w:hanging="8"/>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31"/>
      <w:ind w:right="122"/>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87" w:line="265" w:lineRule="auto"/>
      <w:ind w:left="10" w:hanging="10"/>
      <w:outlineLvl w:val="1"/>
    </w:pPr>
    <w:rPr>
      <w:rFonts w:ascii="ＭＳ 明朝" w:eastAsia="ＭＳ 明朝" w:hAnsi="ＭＳ 明朝" w:cs="ＭＳ 明朝"/>
      <w:color w:val="000000"/>
      <w:sz w:val="24"/>
      <w:u w:val="single" w:color="000000"/>
    </w:rPr>
  </w:style>
  <w:style w:type="paragraph" w:styleId="3">
    <w:name w:val="heading 3"/>
    <w:next w:val="a"/>
    <w:link w:val="30"/>
    <w:uiPriority w:val="9"/>
    <w:unhideWhenUsed/>
    <w:qFormat/>
    <w:pPr>
      <w:keepNext/>
      <w:keepLines/>
      <w:spacing w:after="88" w:line="265" w:lineRule="auto"/>
      <w:ind w:left="10" w:right="122" w:hanging="10"/>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24"/>
      <w:u w:val="single" w:color="000000"/>
    </w:rPr>
  </w:style>
  <w:style w:type="paragraph" w:styleId="a3">
    <w:name w:val="header"/>
    <w:basedOn w:val="a"/>
    <w:link w:val="a4"/>
    <w:uiPriority w:val="99"/>
    <w:unhideWhenUsed/>
    <w:rsid w:val="00A72FF3"/>
    <w:pPr>
      <w:tabs>
        <w:tab w:val="center" w:pos="4252"/>
        <w:tab w:val="right" w:pos="8504"/>
      </w:tabs>
      <w:snapToGrid w:val="0"/>
    </w:pPr>
  </w:style>
  <w:style w:type="character" w:customStyle="1" w:styleId="a4">
    <w:name w:val="ヘッダー (文字)"/>
    <w:basedOn w:val="a0"/>
    <w:link w:val="a3"/>
    <w:uiPriority w:val="99"/>
    <w:rsid w:val="00A72FF3"/>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Taro-令和5年3月23日（2）</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Taro-令和5年3月23日（2）</dc:title>
  <dc:subject/>
  <dc:creator>nakamach</dc:creator>
  <cp:keywords/>
  <cp:lastModifiedBy>呉屋　隼人</cp:lastModifiedBy>
  <cp:revision>13</cp:revision>
  <cp:lastPrinted>2024-04-02T07:59:00Z</cp:lastPrinted>
  <dcterms:created xsi:type="dcterms:W3CDTF">2024-04-01T07:43:00Z</dcterms:created>
  <dcterms:modified xsi:type="dcterms:W3CDTF">2024-04-02T08:38:00Z</dcterms:modified>
</cp:coreProperties>
</file>