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822" w:rsidRDefault="00CC5822">
      <w:pPr>
        <w:rPr>
          <w:rFonts w:hint="default"/>
        </w:rPr>
      </w:pPr>
    </w:p>
    <w:p w:rsidR="00CC5822" w:rsidRDefault="00BF3078">
      <w:pPr>
        <w:rPr>
          <w:rFonts w:hint="default"/>
        </w:rPr>
      </w:pPr>
      <w:r>
        <w:t xml:space="preserve"> </w:t>
      </w:r>
      <w:r>
        <w:t>別表１</w:t>
      </w:r>
    </w:p>
    <w:tbl>
      <w:tblPr>
        <w:tblW w:w="0" w:type="auto"/>
        <w:tblInd w:w="159" w:type="dxa"/>
        <w:tblLayout w:type="fixed"/>
        <w:tblCellMar>
          <w:left w:w="0" w:type="dxa"/>
          <w:right w:w="0" w:type="dxa"/>
        </w:tblCellMar>
        <w:tblLook w:val="0000" w:firstRow="0" w:lastRow="0" w:firstColumn="0" w:lastColumn="0" w:noHBand="0" w:noVBand="0"/>
      </w:tblPr>
      <w:tblGrid>
        <w:gridCol w:w="4115"/>
        <w:gridCol w:w="1556"/>
        <w:gridCol w:w="2469"/>
        <w:gridCol w:w="1320"/>
      </w:tblGrid>
      <w:tr w:rsidR="00CC5822" w:rsidTr="00293919">
        <w:tc>
          <w:tcPr>
            <w:tcW w:w="411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C5822" w:rsidRDefault="00CC5822">
            <w:pPr>
              <w:rPr>
                <w:rFonts w:hint="default"/>
              </w:rPr>
            </w:pPr>
          </w:p>
          <w:p w:rsidR="00CC5822" w:rsidRDefault="00BF3078">
            <w:pPr>
              <w:jc w:val="center"/>
              <w:rPr>
                <w:rFonts w:hint="default"/>
              </w:rPr>
            </w:pPr>
            <w:r>
              <w:t>事</w:t>
            </w:r>
            <w:r>
              <w:t xml:space="preserve">  </w:t>
            </w:r>
            <w:r>
              <w:t>業</w:t>
            </w:r>
            <w:r>
              <w:t xml:space="preserve">  </w:t>
            </w:r>
            <w:r>
              <w:t>の</w:t>
            </w:r>
            <w:r>
              <w:t xml:space="preserve">  </w:t>
            </w:r>
            <w:r>
              <w:t>内</w:t>
            </w:r>
            <w:r>
              <w:t xml:space="preserve">  </w:t>
            </w:r>
            <w:r>
              <w:t>容</w:t>
            </w:r>
          </w:p>
        </w:tc>
        <w:tc>
          <w:tcPr>
            <w:tcW w:w="15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C5822" w:rsidRDefault="00CC5822">
            <w:pPr>
              <w:rPr>
                <w:rFonts w:hint="default"/>
              </w:rPr>
            </w:pPr>
          </w:p>
          <w:p w:rsidR="00CC5822" w:rsidRDefault="00BF3078">
            <w:pPr>
              <w:jc w:val="center"/>
              <w:rPr>
                <w:rFonts w:hint="default"/>
              </w:rPr>
            </w:pPr>
            <w:r>
              <w:t>事業実施主体</w:t>
            </w:r>
          </w:p>
        </w:tc>
        <w:tc>
          <w:tcPr>
            <w:tcW w:w="24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C5822" w:rsidRDefault="00CC5822">
            <w:pPr>
              <w:rPr>
                <w:rFonts w:hint="default"/>
              </w:rPr>
            </w:pPr>
          </w:p>
          <w:p w:rsidR="00CC5822" w:rsidRDefault="00BF3078">
            <w:pPr>
              <w:jc w:val="center"/>
              <w:rPr>
                <w:rFonts w:hint="default"/>
              </w:rPr>
            </w:pPr>
            <w:r>
              <w:t>採</w:t>
            </w:r>
            <w:r>
              <w:t xml:space="preserve"> </w:t>
            </w:r>
            <w:r>
              <w:t>択</w:t>
            </w:r>
            <w:r>
              <w:t xml:space="preserve"> </w:t>
            </w:r>
            <w:r>
              <w:t>要</w:t>
            </w:r>
            <w:r>
              <w:t xml:space="preserve"> </w:t>
            </w:r>
            <w:r>
              <w:t>件</w:t>
            </w:r>
          </w:p>
        </w:tc>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C5822" w:rsidRDefault="00CC5822">
            <w:pPr>
              <w:rPr>
                <w:rFonts w:hint="default"/>
              </w:rPr>
            </w:pPr>
          </w:p>
          <w:p w:rsidR="00CC5822" w:rsidRDefault="00BF3078">
            <w:pPr>
              <w:jc w:val="center"/>
              <w:rPr>
                <w:rFonts w:hint="default"/>
              </w:rPr>
            </w:pPr>
            <w:r>
              <w:t>補</w:t>
            </w:r>
            <w:r>
              <w:t xml:space="preserve"> </w:t>
            </w:r>
            <w:r>
              <w:t>助</w:t>
            </w:r>
            <w:r>
              <w:t xml:space="preserve"> </w:t>
            </w:r>
            <w:r>
              <w:t>率</w:t>
            </w:r>
          </w:p>
        </w:tc>
      </w:tr>
      <w:tr w:rsidR="00CC5822" w:rsidTr="00293919">
        <w:trPr>
          <w:trHeight w:val="328"/>
        </w:trPr>
        <w:tc>
          <w:tcPr>
            <w:tcW w:w="4115" w:type="dxa"/>
            <w:vMerge w:val="restart"/>
            <w:tcBorders>
              <w:top w:val="single" w:sz="4" w:space="0" w:color="000000"/>
              <w:left w:val="single" w:sz="4" w:space="0" w:color="000000"/>
              <w:bottom w:val="nil"/>
              <w:right w:val="single" w:sz="4" w:space="0" w:color="000000"/>
            </w:tcBorders>
            <w:tcMar>
              <w:left w:w="49" w:type="dxa"/>
              <w:right w:w="49" w:type="dxa"/>
            </w:tcMar>
          </w:tcPr>
          <w:p w:rsidR="00CC5822" w:rsidRDefault="00CC5822">
            <w:pPr>
              <w:rPr>
                <w:rFonts w:hint="default"/>
              </w:rPr>
            </w:pPr>
          </w:p>
          <w:p w:rsidR="00CC5822" w:rsidRDefault="00BF3078">
            <w:pPr>
              <w:rPr>
                <w:rFonts w:hint="default"/>
              </w:rPr>
            </w:pPr>
            <w:r>
              <w:t>第１　沖縄型耐候性園芸施設整備事業</w:t>
            </w:r>
          </w:p>
          <w:p w:rsidR="00CC5822" w:rsidRDefault="00BF3078">
            <w:pPr>
              <w:ind w:left="221"/>
              <w:rPr>
                <w:rFonts w:hint="default"/>
              </w:rPr>
            </w:pPr>
            <w:r>
              <w:t xml:space="preserve">　園芸品目の安定生産を図るため環境制御設備等の一体的整備を含めた沖縄型耐候性園芸施設等</w:t>
            </w:r>
          </w:p>
          <w:p w:rsidR="00CC5822" w:rsidRDefault="00CC5822">
            <w:pPr>
              <w:rPr>
                <w:rFonts w:hint="default"/>
              </w:rPr>
            </w:pPr>
          </w:p>
          <w:p w:rsidR="00CC5822" w:rsidRDefault="00BF3078">
            <w:pPr>
              <w:rPr>
                <w:rFonts w:hint="default"/>
              </w:rPr>
            </w:pPr>
            <w:r>
              <w:t xml:space="preserve">　　</w:t>
            </w:r>
            <w:r>
              <w:rPr>
                <w:rFonts w:ascii="ＭＳ 明朝" w:hAnsi="ＭＳ 明朝"/>
              </w:rPr>
              <w:t>(</w:t>
            </w:r>
            <w:r>
              <w:t>1</w:t>
            </w:r>
            <w:r>
              <w:rPr>
                <w:rFonts w:ascii="ＭＳ 明朝" w:hAnsi="ＭＳ 明朝"/>
              </w:rPr>
              <w:t>)</w:t>
            </w:r>
            <w:r>
              <w:t xml:space="preserve"> </w:t>
            </w:r>
            <w:r>
              <w:t>強化型耐候性施設</w:t>
            </w:r>
          </w:p>
          <w:p w:rsidR="00CC5822" w:rsidRDefault="00BF3078">
            <w:pPr>
              <w:ind w:left="661" w:hanging="661"/>
              <w:rPr>
                <w:rFonts w:hint="default"/>
              </w:rPr>
            </w:pPr>
            <w:r>
              <w:t xml:space="preserve">　　</w:t>
            </w:r>
            <w:r>
              <w:rPr>
                <w:rFonts w:ascii="ＭＳ 明朝" w:hAnsi="ＭＳ 明朝"/>
              </w:rPr>
              <w:t>(</w:t>
            </w:r>
            <w:r>
              <w:t>2</w:t>
            </w:r>
            <w:r>
              <w:rPr>
                <w:rFonts w:ascii="ＭＳ 明朝" w:hAnsi="ＭＳ 明朝"/>
              </w:rPr>
              <w:t>)</w:t>
            </w:r>
            <w:r>
              <w:t xml:space="preserve"> </w:t>
            </w:r>
            <w:r>
              <w:t>環境制御設備等（</w:t>
            </w:r>
            <w:r>
              <w:rPr>
                <w:rFonts w:ascii="ＭＳ 明朝" w:hAnsi="ＭＳ 明朝"/>
              </w:rPr>
              <w:t>(</w:t>
            </w:r>
            <w:r>
              <w:t>1</w:t>
            </w:r>
            <w:r>
              <w:rPr>
                <w:rFonts w:ascii="ＭＳ 明朝" w:hAnsi="ＭＳ 明朝"/>
              </w:rPr>
              <w:t>)</w:t>
            </w:r>
            <w:r>
              <w:t>強化型耐候性施設と一体的に整備する場合に限る）</w:t>
            </w:r>
          </w:p>
          <w:p w:rsidR="006A5097" w:rsidRDefault="006A5097">
            <w:pPr>
              <w:rPr>
                <w:rFonts w:hint="default"/>
              </w:rPr>
            </w:pPr>
          </w:p>
          <w:p w:rsidR="00CC5822" w:rsidRDefault="00BF3078">
            <w:pPr>
              <w:rPr>
                <w:rFonts w:hint="default"/>
              </w:rPr>
            </w:pPr>
            <w:r>
              <w:t>第２　耐候性園芸施設補強・改修事業</w:t>
            </w:r>
          </w:p>
          <w:p w:rsidR="00CC5822" w:rsidRDefault="00BF3078">
            <w:pPr>
              <w:ind w:left="221"/>
              <w:rPr>
                <w:rFonts w:hint="default"/>
              </w:rPr>
            </w:pPr>
            <w:r>
              <w:t xml:space="preserve">　施設の長寿命化を図るため耐用年数を過ぎた既存耐候性園芸施設の補強・改修</w:t>
            </w:r>
          </w:p>
          <w:p w:rsidR="00CC5822" w:rsidRDefault="00CC5822">
            <w:pPr>
              <w:rPr>
                <w:rFonts w:hint="default"/>
              </w:rPr>
            </w:pPr>
          </w:p>
          <w:p w:rsidR="00620B35" w:rsidRDefault="00620B35">
            <w:pPr>
              <w:rPr>
                <w:rFonts w:hint="default"/>
              </w:rPr>
            </w:pPr>
          </w:p>
        </w:tc>
        <w:tc>
          <w:tcPr>
            <w:tcW w:w="1556" w:type="dxa"/>
            <w:vMerge w:val="restart"/>
            <w:tcBorders>
              <w:top w:val="single" w:sz="4" w:space="0" w:color="000000"/>
              <w:left w:val="single" w:sz="4" w:space="0" w:color="000000"/>
              <w:bottom w:val="nil"/>
              <w:right w:val="single" w:sz="4" w:space="0" w:color="000000"/>
            </w:tcBorders>
            <w:tcMar>
              <w:left w:w="49" w:type="dxa"/>
              <w:right w:w="49" w:type="dxa"/>
            </w:tcMar>
          </w:tcPr>
          <w:p w:rsidR="00CC5822" w:rsidRDefault="00CC5822">
            <w:pPr>
              <w:rPr>
                <w:rFonts w:hint="default"/>
              </w:rPr>
            </w:pPr>
          </w:p>
          <w:p w:rsidR="00CC5822" w:rsidRDefault="00BF3078">
            <w:pPr>
              <w:rPr>
                <w:rFonts w:hint="default"/>
              </w:rPr>
            </w:pPr>
            <w:r>
              <w:t>市町村、農業協同組合、広域事業主体、農業者が組織する団体</w:t>
            </w:r>
          </w:p>
          <w:p w:rsidR="00CC5822" w:rsidRDefault="00CC5822">
            <w:pPr>
              <w:rPr>
                <w:rFonts w:hint="default"/>
              </w:rPr>
            </w:pPr>
          </w:p>
          <w:p w:rsidR="00CC5822" w:rsidRDefault="00CC5822">
            <w:pPr>
              <w:rPr>
                <w:rFonts w:hint="default"/>
              </w:rPr>
            </w:pPr>
          </w:p>
          <w:p w:rsidR="006A5097" w:rsidRPr="006A5097" w:rsidRDefault="006A5097">
            <w:pPr>
              <w:rPr>
                <w:rFonts w:hint="default"/>
              </w:rPr>
            </w:pPr>
          </w:p>
          <w:p w:rsidR="00CC5822" w:rsidRDefault="00CC5822">
            <w:pPr>
              <w:rPr>
                <w:rFonts w:hint="default"/>
              </w:rPr>
            </w:pPr>
          </w:p>
          <w:p w:rsidR="006A5097" w:rsidRDefault="006A5097">
            <w:pPr>
              <w:rPr>
                <w:rFonts w:hint="default"/>
              </w:rPr>
            </w:pPr>
          </w:p>
          <w:p w:rsidR="00CC5822" w:rsidRDefault="00CC5822">
            <w:pPr>
              <w:rPr>
                <w:rFonts w:hint="default"/>
              </w:rPr>
            </w:pPr>
          </w:p>
          <w:p w:rsidR="00CC5822" w:rsidRDefault="00CC5822">
            <w:pPr>
              <w:rPr>
                <w:rFonts w:hint="default"/>
              </w:rPr>
            </w:pPr>
          </w:p>
          <w:p w:rsidR="00CC5822" w:rsidRDefault="00CC5822">
            <w:pPr>
              <w:rPr>
                <w:rFonts w:hint="default"/>
              </w:rPr>
            </w:pPr>
          </w:p>
        </w:tc>
        <w:tc>
          <w:tcPr>
            <w:tcW w:w="2469" w:type="dxa"/>
            <w:vMerge w:val="restart"/>
            <w:tcBorders>
              <w:top w:val="single" w:sz="4" w:space="0" w:color="000000"/>
              <w:left w:val="single" w:sz="4" w:space="0" w:color="000000"/>
              <w:bottom w:val="nil"/>
              <w:right w:val="single" w:sz="4" w:space="0" w:color="000000"/>
            </w:tcBorders>
            <w:tcMar>
              <w:left w:w="49" w:type="dxa"/>
              <w:right w:w="49" w:type="dxa"/>
            </w:tcMar>
          </w:tcPr>
          <w:p w:rsidR="00CC5822" w:rsidRDefault="00CC5822">
            <w:pPr>
              <w:rPr>
                <w:rFonts w:hint="default"/>
              </w:rPr>
            </w:pPr>
          </w:p>
          <w:p w:rsidR="00CC5822" w:rsidRDefault="00BF3078">
            <w:pPr>
              <w:rPr>
                <w:rFonts w:hint="default"/>
              </w:rPr>
            </w:pPr>
            <w:r>
              <w:t>第１及び第２の事業の受益農家戸数は、３戸以上とする。</w:t>
            </w:r>
          </w:p>
          <w:p w:rsidR="00CC5822" w:rsidRDefault="00CC5822">
            <w:pPr>
              <w:rPr>
                <w:rFonts w:hint="default"/>
              </w:rPr>
            </w:pPr>
          </w:p>
          <w:p w:rsidR="00CC5822" w:rsidRDefault="00BF3078">
            <w:pPr>
              <w:rPr>
                <w:rFonts w:hint="default"/>
              </w:rPr>
            </w:pPr>
            <w:r>
              <w:t>第１及び第２の事業後は、速やかに園芸施設共済等へ加入する。</w:t>
            </w:r>
          </w:p>
          <w:p w:rsidR="00620B35" w:rsidRDefault="00620B35">
            <w:pPr>
              <w:rPr>
                <w:rFonts w:hint="default"/>
              </w:rPr>
            </w:pPr>
          </w:p>
          <w:p w:rsidR="006A5097" w:rsidRDefault="006A5097">
            <w:pPr>
              <w:rPr>
                <w:rFonts w:hint="default"/>
              </w:rPr>
            </w:pPr>
            <w:bookmarkStart w:id="0" w:name="_GoBack"/>
            <w:bookmarkEnd w:id="0"/>
          </w:p>
          <w:p w:rsidR="006A5097" w:rsidRDefault="006A5097">
            <w:pPr>
              <w:rPr>
                <w:rFonts w:hint="default"/>
              </w:rPr>
            </w:pPr>
          </w:p>
          <w:p w:rsidR="00620B35" w:rsidRPr="002F5578" w:rsidRDefault="00620B35">
            <w:pPr>
              <w:rPr>
                <w:rFonts w:hint="default"/>
                <w:color w:val="auto"/>
              </w:rPr>
            </w:pPr>
            <w:r w:rsidRPr="002F5578">
              <w:rPr>
                <w:color w:val="auto"/>
              </w:rPr>
              <w:t>第２</w:t>
            </w:r>
            <w:r w:rsidR="00376359" w:rsidRPr="002F5578">
              <w:rPr>
                <w:color w:val="auto"/>
              </w:rPr>
              <w:t>の事業については次のすべての条件を満たすこととする。</w:t>
            </w:r>
          </w:p>
          <w:p w:rsidR="00376359" w:rsidRPr="002F5578" w:rsidRDefault="00376359">
            <w:pPr>
              <w:rPr>
                <w:rFonts w:hint="default"/>
                <w:color w:val="auto"/>
              </w:rPr>
            </w:pPr>
          </w:p>
          <w:p w:rsidR="00376359" w:rsidRPr="002F5578" w:rsidRDefault="00376359">
            <w:pPr>
              <w:rPr>
                <w:rFonts w:hint="default"/>
                <w:color w:val="auto"/>
              </w:rPr>
            </w:pPr>
            <w:r w:rsidRPr="002F5578">
              <w:rPr>
                <w:color w:val="auto"/>
              </w:rPr>
              <w:t>１　耐用年数</w:t>
            </w:r>
            <w:r w:rsidR="00A47D81" w:rsidRPr="002F5578">
              <w:rPr>
                <w:color w:val="auto"/>
              </w:rPr>
              <w:t>（財産処分制限期間）</w:t>
            </w:r>
            <w:r w:rsidRPr="002F5578">
              <w:rPr>
                <w:color w:val="auto"/>
              </w:rPr>
              <w:t>を超えて使用しているもの。</w:t>
            </w:r>
          </w:p>
          <w:p w:rsidR="00376359" w:rsidRPr="002F5578" w:rsidRDefault="00376359">
            <w:pPr>
              <w:rPr>
                <w:rFonts w:hint="default"/>
                <w:color w:val="auto"/>
              </w:rPr>
            </w:pPr>
          </w:p>
          <w:p w:rsidR="00CC5822" w:rsidRPr="002F5578" w:rsidRDefault="00376359">
            <w:pPr>
              <w:rPr>
                <w:rFonts w:hint="default"/>
                <w:color w:val="auto"/>
              </w:rPr>
            </w:pPr>
            <w:r w:rsidRPr="002F5578">
              <w:rPr>
                <w:color w:val="auto"/>
              </w:rPr>
              <w:t xml:space="preserve">２　</w:t>
            </w:r>
            <w:r w:rsidR="00E44E89" w:rsidRPr="002F5578">
              <w:rPr>
                <w:color w:val="auto"/>
              </w:rPr>
              <w:t>助成対象者</w:t>
            </w:r>
            <w:r w:rsidR="00293919" w:rsidRPr="002F5578">
              <w:rPr>
                <w:color w:val="auto"/>
              </w:rPr>
              <w:t>からの誓約書により、</w:t>
            </w:r>
            <w:r w:rsidR="00A47D81" w:rsidRPr="002F5578">
              <w:rPr>
                <w:color w:val="auto"/>
              </w:rPr>
              <w:t>今後、</w:t>
            </w:r>
            <w:r w:rsidR="00293919" w:rsidRPr="002F5578">
              <w:rPr>
                <w:color w:val="auto"/>
              </w:rPr>
              <w:t>耐用年数（財産処分制限期間）が１４年の施設は７年以上、８年の施設は５年以上利用する意思が確認できるもの。</w:t>
            </w:r>
          </w:p>
          <w:p w:rsidR="00CC5822" w:rsidRDefault="00CC5822">
            <w:pPr>
              <w:rPr>
                <w:rFonts w:hint="default"/>
              </w:rPr>
            </w:pPr>
          </w:p>
          <w:p w:rsidR="006A5097" w:rsidRDefault="006A5097">
            <w:pPr>
              <w:rPr>
                <w:rFonts w:hint="default"/>
              </w:rPr>
            </w:pPr>
          </w:p>
        </w:tc>
        <w:tc>
          <w:tcPr>
            <w:tcW w:w="1320" w:type="dxa"/>
            <w:vMerge w:val="restart"/>
            <w:tcBorders>
              <w:top w:val="single" w:sz="4" w:space="0" w:color="000000"/>
              <w:left w:val="single" w:sz="4" w:space="0" w:color="000000"/>
              <w:bottom w:val="nil"/>
              <w:right w:val="single" w:sz="4" w:space="0" w:color="000000"/>
            </w:tcBorders>
            <w:tcMar>
              <w:left w:w="49" w:type="dxa"/>
              <w:right w:w="49" w:type="dxa"/>
            </w:tcMar>
          </w:tcPr>
          <w:p w:rsidR="00CC5822" w:rsidRDefault="00CC5822">
            <w:pPr>
              <w:rPr>
                <w:rFonts w:hint="default"/>
              </w:rPr>
            </w:pPr>
          </w:p>
          <w:p w:rsidR="00CC5822" w:rsidRDefault="00BF3078">
            <w:pPr>
              <w:rPr>
                <w:rFonts w:hint="default"/>
              </w:rPr>
            </w:pPr>
            <w:r>
              <w:t>８／１０</w:t>
            </w:r>
          </w:p>
          <w:p w:rsidR="00CC5822" w:rsidRDefault="00BF3078">
            <w:pPr>
              <w:rPr>
                <w:rFonts w:hint="default"/>
              </w:rPr>
            </w:pPr>
            <w:r>
              <w:t xml:space="preserve">    </w:t>
            </w:r>
            <w:r>
              <w:t xml:space="preserve">　以内</w:t>
            </w:r>
          </w:p>
          <w:p w:rsidR="00CC5822" w:rsidRDefault="00CC5822">
            <w:pPr>
              <w:rPr>
                <w:rFonts w:hint="default"/>
              </w:rPr>
            </w:pPr>
          </w:p>
          <w:p w:rsidR="00CC5822" w:rsidRDefault="00CC5822">
            <w:pPr>
              <w:rPr>
                <w:rFonts w:hint="default"/>
              </w:rPr>
            </w:pPr>
          </w:p>
          <w:p w:rsidR="00CC5822" w:rsidRDefault="00CC5822">
            <w:pPr>
              <w:rPr>
                <w:rFonts w:hint="default"/>
              </w:rPr>
            </w:pPr>
          </w:p>
          <w:p w:rsidR="00CC5822" w:rsidRDefault="00CC5822">
            <w:pPr>
              <w:rPr>
                <w:rFonts w:hint="default"/>
              </w:rPr>
            </w:pPr>
          </w:p>
          <w:p w:rsidR="00CC5822" w:rsidRDefault="00CC5822">
            <w:pPr>
              <w:rPr>
                <w:rFonts w:hint="default"/>
              </w:rPr>
            </w:pPr>
          </w:p>
          <w:p w:rsidR="00CC5822" w:rsidRDefault="00CC5822">
            <w:pPr>
              <w:rPr>
                <w:rFonts w:hint="default"/>
              </w:rPr>
            </w:pPr>
          </w:p>
          <w:p w:rsidR="00CC5822" w:rsidRDefault="00CC5822">
            <w:pPr>
              <w:rPr>
                <w:rFonts w:hint="default"/>
              </w:rPr>
            </w:pPr>
          </w:p>
          <w:p w:rsidR="00CC5822" w:rsidRDefault="00CC5822">
            <w:pPr>
              <w:rPr>
                <w:rFonts w:hint="default"/>
              </w:rPr>
            </w:pPr>
          </w:p>
          <w:p w:rsidR="00CC5822" w:rsidRDefault="00CC5822">
            <w:pPr>
              <w:rPr>
                <w:rFonts w:hint="default"/>
              </w:rPr>
            </w:pPr>
          </w:p>
          <w:p w:rsidR="00CC5822" w:rsidRDefault="00CC5822">
            <w:pPr>
              <w:rPr>
                <w:rFonts w:hint="default"/>
              </w:rPr>
            </w:pPr>
          </w:p>
          <w:p w:rsidR="00CC5822" w:rsidRDefault="00CC5822">
            <w:pPr>
              <w:rPr>
                <w:rFonts w:hint="default"/>
              </w:rPr>
            </w:pPr>
          </w:p>
          <w:p w:rsidR="00CC5822" w:rsidRDefault="00CC5822">
            <w:pPr>
              <w:rPr>
                <w:rFonts w:hint="default"/>
              </w:rPr>
            </w:pPr>
          </w:p>
        </w:tc>
      </w:tr>
      <w:tr w:rsidR="00CC5822" w:rsidTr="00293919">
        <w:trPr>
          <w:trHeight w:val="328"/>
        </w:trPr>
        <w:tc>
          <w:tcPr>
            <w:tcW w:w="4115" w:type="dxa"/>
            <w:vMerge/>
            <w:tcBorders>
              <w:top w:val="nil"/>
              <w:left w:val="single" w:sz="4" w:space="0" w:color="000000"/>
              <w:bottom w:val="single" w:sz="4" w:space="0" w:color="000000"/>
              <w:right w:val="single" w:sz="4" w:space="0" w:color="000000"/>
            </w:tcBorders>
            <w:tcMar>
              <w:left w:w="49" w:type="dxa"/>
              <w:right w:w="49" w:type="dxa"/>
            </w:tcMar>
          </w:tcPr>
          <w:p w:rsidR="00CC5822" w:rsidRDefault="00CC5822">
            <w:pPr>
              <w:rPr>
                <w:rFonts w:hint="default"/>
              </w:rPr>
            </w:pPr>
          </w:p>
        </w:tc>
        <w:tc>
          <w:tcPr>
            <w:tcW w:w="1556" w:type="dxa"/>
            <w:vMerge/>
            <w:tcBorders>
              <w:top w:val="nil"/>
              <w:left w:val="single" w:sz="4" w:space="0" w:color="000000"/>
              <w:bottom w:val="single" w:sz="4" w:space="0" w:color="000000"/>
              <w:right w:val="single" w:sz="4" w:space="0" w:color="000000"/>
            </w:tcBorders>
            <w:tcMar>
              <w:left w:w="49" w:type="dxa"/>
              <w:right w:w="49" w:type="dxa"/>
            </w:tcMar>
          </w:tcPr>
          <w:p w:rsidR="00CC5822" w:rsidRDefault="00CC5822">
            <w:pPr>
              <w:rPr>
                <w:rFonts w:hint="default"/>
              </w:rPr>
            </w:pPr>
          </w:p>
        </w:tc>
        <w:tc>
          <w:tcPr>
            <w:tcW w:w="2469" w:type="dxa"/>
            <w:vMerge/>
            <w:tcBorders>
              <w:top w:val="nil"/>
              <w:left w:val="single" w:sz="4" w:space="0" w:color="000000"/>
              <w:bottom w:val="single" w:sz="4" w:space="0" w:color="000000"/>
              <w:right w:val="single" w:sz="4" w:space="0" w:color="000000"/>
            </w:tcBorders>
            <w:tcMar>
              <w:left w:w="49" w:type="dxa"/>
              <w:right w:w="49" w:type="dxa"/>
            </w:tcMar>
          </w:tcPr>
          <w:p w:rsidR="00CC5822" w:rsidRDefault="00CC5822">
            <w:pPr>
              <w:rPr>
                <w:rFonts w:hint="default"/>
              </w:rPr>
            </w:pPr>
          </w:p>
        </w:tc>
        <w:tc>
          <w:tcPr>
            <w:tcW w:w="1320" w:type="dxa"/>
            <w:vMerge/>
            <w:tcBorders>
              <w:top w:val="nil"/>
              <w:left w:val="single" w:sz="4" w:space="0" w:color="000000"/>
              <w:bottom w:val="single" w:sz="4" w:space="0" w:color="000000"/>
              <w:right w:val="single" w:sz="4" w:space="0" w:color="000000"/>
            </w:tcBorders>
            <w:tcMar>
              <w:left w:w="49" w:type="dxa"/>
              <w:right w:w="49" w:type="dxa"/>
            </w:tcMar>
          </w:tcPr>
          <w:p w:rsidR="00CC5822" w:rsidRDefault="00CC5822">
            <w:pPr>
              <w:rPr>
                <w:rFonts w:hint="default"/>
              </w:rPr>
            </w:pPr>
          </w:p>
        </w:tc>
      </w:tr>
    </w:tbl>
    <w:p w:rsidR="00CC5822" w:rsidRDefault="00CC5822">
      <w:pPr>
        <w:rPr>
          <w:rFonts w:hint="default"/>
        </w:rPr>
      </w:pPr>
    </w:p>
    <w:sectPr w:rsidR="00CC5822">
      <w:footerReference w:type="even" r:id="rId6"/>
      <w:footerReference w:type="default" r:id="rId7"/>
      <w:footnotePr>
        <w:numRestart w:val="eachPage"/>
      </w:footnotePr>
      <w:endnotePr>
        <w:numFmt w:val="decimal"/>
      </w:endnotePr>
      <w:pgSz w:w="11906" w:h="16838"/>
      <w:pgMar w:top="1191" w:right="1020" w:bottom="850" w:left="1191" w:header="1134" w:footer="347" w:gutter="0"/>
      <w:cols w:space="720"/>
      <w:docGrid w:type="linesAndChars" w:linePitch="328" w:charSpace="6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822" w:rsidRDefault="00BF3078">
      <w:pPr>
        <w:spacing w:before="347"/>
        <w:rPr>
          <w:rFonts w:hint="default"/>
        </w:rPr>
      </w:pPr>
      <w:r>
        <w:continuationSeparator/>
      </w:r>
    </w:p>
  </w:endnote>
  <w:endnote w:type="continuationSeparator" w:id="0">
    <w:p w:rsidR="00CC5822" w:rsidRDefault="00BF3078">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822" w:rsidRDefault="00BF3078">
    <w:pPr>
      <w:framePr w:wrap="auto" w:vAnchor="page" w:hAnchor="margin" w:xAlign="center" w:y="16227"/>
      <w:spacing w:line="0" w:lineRule="atLeast"/>
      <w:jc w:val="center"/>
      <w:rPr>
        <w:rFonts w:hint="default"/>
      </w:rPr>
    </w:pPr>
    <w:r>
      <w:t xml:space="preserve">- </w:t>
    </w:r>
    <w:r>
      <w:fldChar w:fldCharType="begin"/>
    </w:r>
    <w:r>
      <w:instrText xml:space="preserve">= 5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t>1</w:t>
    </w:r>
    <w:r>
      <w:fldChar w:fldCharType="end"/>
    </w:r>
    <w:r>
      <w:t xml:space="preserve"> -</w:t>
    </w:r>
  </w:p>
  <w:p w:rsidR="00CC5822" w:rsidRDefault="00CC5822">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822" w:rsidRDefault="00BF3078">
    <w:pPr>
      <w:framePr w:wrap="auto" w:vAnchor="page" w:hAnchor="margin" w:xAlign="center" w:y="16227"/>
      <w:spacing w:line="0" w:lineRule="atLeast"/>
      <w:jc w:val="center"/>
      <w:rPr>
        <w:rFonts w:hint="default"/>
      </w:rPr>
    </w:pPr>
    <w:r>
      <w:t xml:space="preserve">- </w:t>
    </w:r>
    <w:r>
      <w:fldChar w:fldCharType="begin"/>
    </w:r>
    <w:r>
      <w:instrText xml:space="preserve">= 5 + </w:instrText>
    </w:r>
    <w:r>
      <w:fldChar w:fldCharType="begin"/>
    </w:r>
    <w:r>
      <w:instrText xml:space="preserve">PAGE \* MERGEFORMAT </w:instrText>
    </w:r>
    <w:r>
      <w:fldChar w:fldCharType="separate"/>
    </w:r>
    <w:r w:rsidR="002F5578">
      <w:rPr>
        <w:rFonts w:hint="default"/>
        <w:noProof/>
      </w:rPr>
      <w:instrText>1</w:instrText>
    </w:r>
    <w:r>
      <w:fldChar w:fldCharType="end"/>
    </w:r>
    <w:r>
      <w:instrText xml:space="preserve"> \* Arabic</w:instrText>
    </w:r>
    <w:r>
      <w:fldChar w:fldCharType="separate"/>
    </w:r>
    <w:r w:rsidR="002F5578">
      <w:rPr>
        <w:rFonts w:hint="default"/>
        <w:noProof/>
      </w:rPr>
      <w:t>6</w:t>
    </w:r>
    <w:r>
      <w:fldChar w:fldCharType="end"/>
    </w:r>
    <w:r>
      <w:t xml:space="preserve"> -</w:t>
    </w:r>
  </w:p>
  <w:p w:rsidR="00CC5822" w:rsidRDefault="00CC5822">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822" w:rsidRDefault="00BF3078">
      <w:pPr>
        <w:spacing w:before="347"/>
        <w:rPr>
          <w:rFonts w:hint="default"/>
        </w:rPr>
      </w:pPr>
      <w:r>
        <w:continuationSeparator/>
      </w:r>
    </w:p>
  </w:footnote>
  <w:footnote w:type="continuationSeparator" w:id="0">
    <w:p w:rsidR="00CC5822" w:rsidRDefault="00BF3078">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isplayBackgroundShape/>
  <w:bordersDoNotSurroundHeader/>
  <w:bordersDoNotSurroundFooter/>
  <w:proofState w:spelling="clean" w:grammar="clean"/>
  <w:defaultTabStop w:val="882"/>
  <w:hyphenationZone w:val="0"/>
  <w:drawingGridHorizontalSpacing w:val="389"/>
  <w:drawingGridVerticalSpacing w:val="328"/>
  <w:displayHorizontalDrawingGridEvery w:val="0"/>
  <w:doNotShadeFormData/>
  <w:characterSpacingControl w:val="compressPunctuation"/>
  <w:noLineBreaksAfter w:lang="ja-JP" w:val="([{〈《「『【〔（［｛｢"/>
  <w:noLineBreaksBefore w:lang="ja-JP" w:val="!),.?]}、。〉》」』】〕！），．？］｝｡｣､ﾞﾟ"/>
  <w:hdrShapeDefaults>
    <o:shapedefaults v:ext="edit" spidmax="1433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078"/>
    <w:rsid w:val="00293919"/>
    <w:rsid w:val="002F5578"/>
    <w:rsid w:val="0030279B"/>
    <w:rsid w:val="00376359"/>
    <w:rsid w:val="00441D8F"/>
    <w:rsid w:val="00560D8E"/>
    <w:rsid w:val="0061151B"/>
    <w:rsid w:val="00620B35"/>
    <w:rsid w:val="006A5097"/>
    <w:rsid w:val="00A47D81"/>
    <w:rsid w:val="00BF3078"/>
    <w:rsid w:val="00CC5822"/>
    <w:rsid w:val="00D611C2"/>
    <w:rsid w:val="00E1160A"/>
    <w:rsid w:val="00E44E89"/>
    <w:rsid w:val="00E642ED"/>
    <w:rsid w:val="00EF5E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chartTrackingRefBased/>
  <w15:docId w15:val="{730FF1E7-954A-44F4-86F5-E3622D9E5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3078"/>
    <w:pPr>
      <w:tabs>
        <w:tab w:val="center" w:pos="4252"/>
        <w:tab w:val="right" w:pos="8504"/>
      </w:tabs>
      <w:snapToGrid w:val="0"/>
    </w:pPr>
  </w:style>
  <w:style w:type="character" w:customStyle="1" w:styleId="a4">
    <w:name w:val="ヘッダー (文字)"/>
    <w:basedOn w:val="a0"/>
    <w:link w:val="a3"/>
    <w:uiPriority w:val="99"/>
    <w:rsid w:val="00BF3078"/>
    <w:rPr>
      <w:rFonts w:ascii="Times New Roman" w:hAnsi="Times New Roman"/>
      <w:color w:val="000000"/>
      <w:sz w:val="22"/>
    </w:rPr>
  </w:style>
  <w:style w:type="paragraph" w:styleId="a5">
    <w:name w:val="footer"/>
    <w:basedOn w:val="a"/>
    <w:link w:val="a6"/>
    <w:uiPriority w:val="99"/>
    <w:unhideWhenUsed/>
    <w:rsid w:val="00BF3078"/>
    <w:pPr>
      <w:tabs>
        <w:tab w:val="center" w:pos="4252"/>
        <w:tab w:val="right" w:pos="8504"/>
      </w:tabs>
      <w:snapToGrid w:val="0"/>
    </w:pPr>
  </w:style>
  <w:style w:type="character" w:customStyle="1" w:styleId="a6">
    <w:name w:val="フッター (文字)"/>
    <w:basedOn w:val="a0"/>
    <w:link w:val="a5"/>
    <w:uiPriority w:val="99"/>
    <w:rsid w:val="00BF3078"/>
    <w:rPr>
      <w:rFonts w:ascii="Times New Roman" w:hAnsi="Times New Roman"/>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326</TotalTime>
  <Pages>1</Pages>
  <Words>388</Words>
  <Characters>105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沖縄県</cp:lastModifiedBy>
  <cp:revision>11</cp:revision>
  <cp:lastPrinted>1899-12-31T15:00:00Z</cp:lastPrinted>
  <dcterms:created xsi:type="dcterms:W3CDTF">2023-09-12T01:22:00Z</dcterms:created>
  <dcterms:modified xsi:type="dcterms:W3CDTF">2024-02-07T02:20:00Z</dcterms:modified>
</cp:coreProperties>
</file>