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61B1C" w14:textId="18CC38F0" w:rsidR="007013BF" w:rsidRPr="00607E8A" w:rsidRDefault="00DF7D78" w:rsidP="00F625B2">
      <w:pPr>
        <w:jc w:val="center"/>
        <w:rPr>
          <w:rFonts w:ascii="游ゴシック" w:eastAsia="游ゴシック" w:hAnsi="游ゴシック"/>
          <w:bCs/>
          <w:sz w:val="28"/>
          <w:szCs w:val="28"/>
        </w:rPr>
      </w:pPr>
      <w:r>
        <w:rPr>
          <w:rFonts w:ascii="游ゴシック" w:eastAsia="游ゴシック" w:hAnsi="游ゴシック" w:hint="eastAsia"/>
          <w:bCs/>
          <w:sz w:val="28"/>
          <w:szCs w:val="28"/>
        </w:rPr>
        <w:t>「</w:t>
      </w:r>
      <w:r w:rsidR="009E657A" w:rsidRPr="00607E8A">
        <w:rPr>
          <w:rFonts w:ascii="游ゴシック" w:eastAsia="游ゴシック" w:hAnsi="游ゴシック" w:hint="eastAsia"/>
          <w:bCs/>
          <w:sz w:val="28"/>
          <w:szCs w:val="28"/>
        </w:rPr>
        <w:t>事例シート</w:t>
      </w:r>
      <w:r>
        <w:rPr>
          <w:rFonts w:ascii="游ゴシック" w:eastAsia="游ゴシック" w:hAnsi="游ゴシック" w:hint="eastAsia"/>
          <w:bCs/>
          <w:sz w:val="28"/>
          <w:szCs w:val="28"/>
        </w:rPr>
        <w:t>」の使い方</w:t>
      </w:r>
    </w:p>
    <w:p w14:paraId="5E3AEE91" w14:textId="699E0AC8" w:rsidR="007013BF" w:rsidRPr="00607E8A" w:rsidRDefault="00DF7D78" w:rsidP="001D3A6B">
      <w:pPr>
        <w:rPr>
          <w:rFonts w:ascii="游ゴシック" w:eastAsia="游ゴシック" w:hAnsi="游ゴシック"/>
          <w:sz w:val="21"/>
          <w:szCs w:val="21"/>
        </w:rPr>
      </w:pPr>
      <w:r>
        <w:rPr>
          <w:rFonts w:ascii="游ゴシック" w:eastAsia="游ゴシック" w:hAnsi="游ゴシック" w:hint="eastAsia"/>
          <w:sz w:val="21"/>
          <w:szCs w:val="21"/>
        </w:rPr>
        <w:t>◆</w:t>
      </w:r>
      <w:r w:rsidR="007013BF" w:rsidRPr="00607E8A">
        <w:rPr>
          <w:rFonts w:ascii="游ゴシック" w:eastAsia="游ゴシック" w:hAnsi="游ゴシック" w:hint="eastAsia"/>
          <w:sz w:val="21"/>
          <w:szCs w:val="21"/>
        </w:rPr>
        <w:t>目的</w:t>
      </w:r>
    </w:p>
    <w:p w14:paraId="15DF1203" w14:textId="0EEA4D26" w:rsidR="007013BF" w:rsidRDefault="0057257C" w:rsidP="00DF7D78">
      <w:pPr>
        <w:spacing w:line="0" w:lineRule="atLeast"/>
        <w:ind w:firstLineChars="100" w:firstLine="201"/>
        <w:rPr>
          <w:rFonts w:ascii="游ゴシック" w:eastAsia="游ゴシック" w:hAnsi="游ゴシック"/>
          <w:sz w:val="21"/>
          <w:szCs w:val="21"/>
        </w:rPr>
      </w:pPr>
      <w:r>
        <w:rPr>
          <w:noProof/>
        </w:rPr>
        <w:drawing>
          <wp:anchor distT="0" distB="0" distL="114300" distR="114300" simplePos="0" relativeHeight="251664384" behindDoc="0" locked="0" layoutInCell="1" allowOverlap="1" wp14:anchorId="14471A9A" wp14:editId="5A94EEC2">
            <wp:simplePos x="0" y="0"/>
            <wp:positionH relativeFrom="margin">
              <wp:posOffset>3948430</wp:posOffset>
            </wp:positionH>
            <wp:positionV relativeFrom="paragraph">
              <wp:posOffset>492125</wp:posOffset>
            </wp:positionV>
            <wp:extent cx="812800" cy="812800"/>
            <wp:effectExtent l="0" t="0" r="6350" b="6350"/>
            <wp:wrapSquare wrapText="bothSides"/>
            <wp:docPr id="5" name="図 5" descr="https://qr.quel.jp/tmp/d5f59a04fd7c93d3928425dda95c24b4b162633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d5f59a04fd7c93d3928425dda95c24b4b162633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69CB">
        <w:rPr>
          <w:rFonts w:ascii="游ゴシック" w:eastAsia="游ゴシック" w:hAnsi="游ゴシック" w:hint="eastAsia"/>
          <w:sz w:val="21"/>
          <w:szCs w:val="21"/>
        </w:rPr>
        <w:t>本事例シートは、『単位民児協を支える人々</w:t>
      </w:r>
      <w:r w:rsidR="007013BF" w:rsidRPr="00DF7D78">
        <w:rPr>
          <w:rFonts w:ascii="游ゴシック" w:eastAsia="游ゴシック" w:hAnsi="游ゴシック" w:hint="eastAsia"/>
          <w:sz w:val="21"/>
          <w:szCs w:val="21"/>
        </w:rPr>
        <w:t>のためのハンドブック―民生委員児童委員協議会をより活動しやすくするために―』（沖縄県、令和2年3月）に記載されている「定例会を活用した30分でできる事例学習」（P18～P19）の効率的な実施に資することを目的として作成されています。</w:t>
      </w:r>
    </w:p>
    <w:p w14:paraId="16093680" w14:textId="211DCA65" w:rsidR="00DF7D78" w:rsidRPr="00DF7D78" w:rsidRDefault="00DF7D78" w:rsidP="00DF7D78">
      <w:pPr>
        <w:snapToGrid w:val="0"/>
        <w:rPr>
          <w:rFonts w:ascii="游ゴシック" w:eastAsia="游ゴシック" w:hAnsi="游ゴシック"/>
          <w:sz w:val="18"/>
        </w:rPr>
      </w:pPr>
      <w:r>
        <w:rPr>
          <w:rFonts w:ascii="游ゴシック" w:eastAsia="游ゴシック" w:hAnsi="游ゴシック" w:hint="eastAsia"/>
          <w:sz w:val="18"/>
        </w:rPr>
        <w:t>※</w:t>
      </w:r>
      <w:r w:rsidRPr="00DF7D78">
        <w:rPr>
          <w:rFonts w:ascii="游ゴシック" w:eastAsia="游ゴシック" w:hAnsi="游ゴシック" w:hint="eastAsia"/>
          <w:sz w:val="18"/>
        </w:rPr>
        <w:t>「</w:t>
      </w:r>
      <w:r w:rsidR="003038FC">
        <w:rPr>
          <w:rFonts w:ascii="游ゴシック" w:eastAsia="游ゴシック" w:hAnsi="游ゴシック" w:hint="eastAsia"/>
          <w:sz w:val="18"/>
        </w:rPr>
        <w:t>事例シート</w:t>
      </w:r>
      <w:r w:rsidRPr="00DF7D78">
        <w:rPr>
          <w:rFonts w:ascii="游ゴシック" w:eastAsia="游ゴシック" w:hAnsi="游ゴシック" w:hint="eastAsia"/>
          <w:sz w:val="18"/>
        </w:rPr>
        <w:t>」データは以下のサイトからダウンロードしてください。</w:t>
      </w:r>
    </w:p>
    <w:p w14:paraId="30E8F2BA" w14:textId="77777777" w:rsidR="0057257C" w:rsidRDefault="00DF7D78" w:rsidP="0057257C">
      <w:pPr>
        <w:snapToGrid w:val="0"/>
        <w:ind w:leftChars="100" w:left="201"/>
        <w:rPr>
          <w:rFonts w:ascii="游ゴシック" w:eastAsia="游ゴシック" w:hAnsi="游ゴシック"/>
          <w:sz w:val="18"/>
        </w:rPr>
      </w:pPr>
      <w:r w:rsidRPr="00DF7D78">
        <w:rPr>
          <w:rFonts w:ascii="游ゴシック" w:eastAsia="游ゴシック" w:hAnsi="游ゴシック" w:hint="eastAsia"/>
          <w:sz w:val="18"/>
        </w:rPr>
        <w:t>沖縄県民生委員活動活性化事業／沖縄県</w:t>
      </w:r>
    </w:p>
    <w:p w14:paraId="14F5EF1E" w14:textId="4F6EB6CA" w:rsidR="00DF7D78" w:rsidRDefault="0057257C" w:rsidP="0057257C">
      <w:pPr>
        <w:snapToGrid w:val="0"/>
        <w:ind w:leftChars="100" w:left="201"/>
        <w:rPr>
          <w:rFonts w:ascii="游ゴシック" w:eastAsia="游ゴシック" w:hAnsi="游ゴシック"/>
          <w:sz w:val="18"/>
        </w:rPr>
      </w:pPr>
      <w:hyperlink r:id="rId9" w:history="1">
        <w:r w:rsidRPr="00DF23C3">
          <w:rPr>
            <w:rStyle w:val="ab"/>
            <w:rFonts w:ascii="游ゴシック" w:eastAsia="游ゴシック" w:hAnsi="游ゴシック"/>
            <w:sz w:val="18"/>
          </w:rPr>
          <w:t>https://www.pref.okinawa.jp/site/kodomo/fukushi/chiiki/minkatu.html</w:t>
        </w:r>
      </w:hyperlink>
    </w:p>
    <w:p w14:paraId="2CB49F95" w14:textId="6DB11757" w:rsidR="007013BF" w:rsidRPr="00607E8A" w:rsidRDefault="007013BF" w:rsidP="001D3A6B">
      <w:pPr>
        <w:rPr>
          <w:rFonts w:ascii="游ゴシック" w:eastAsia="游ゴシック" w:hAnsi="游ゴシック"/>
          <w:sz w:val="21"/>
          <w:szCs w:val="21"/>
        </w:rPr>
      </w:pPr>
      <w:r w:rsidRPr="00607E8A">
        <w:rPr>
          <w:rFonts w:ascii="游ゴシック" w:eastAsia="游ゴシック" w:hAnsi="游ゴシック" w:hint="eastAsia"/>
          <w:sz w:val="21"/>
          <w:szCs w:val="21"/>
        </w:rPr>
        <w:t>◆活用に際しての留意点</w:t>
      </w:r>
    </w:p>
    <w:p w14:paraId="59CA9E37" w14:textId="5B52442D" w:rsidR="00F625B2" w:rsidRPr="00DF7D78" w:rsidRDefault="00607E8A" w:rsidP="001D3A6B">
      <w:pPr>
        <w:pStyle w:val="a7"/>
        <w:numPr>
          <w:ilvl w:val="0"/>
          <w:numId w:val="10"/>
        </w:numPr>
        <w:spacing w:line="0" w:lineRule="atLeast"/>
        <w:ind w:leftChars="0"/>
        <w:rPr>
          <w:rFonts w:ascii="游ゴシック" w:eastAsia="游ゴシック" w:hAnsi="游ゴシック"/>
          <w:sz w:val="21"/>
          <w:szCs w:val="21"/>
        </w:rPr>
      </w:pPr>
      <w:r w:rsidRPr="00DF7D78">
        <w:rPr>
          <w:rFonts w:ascii="游ゴシック" w:eastAsia="游ゴシック" w:hAnsi="游ゴシック" w:hint="eastAsia"/>
          <w:sz w:val="21"/>
          <w:szCs w:val="21"/>
        </w:rPr>
        <w:t>本事例シートは、</w:t>
      </w:r>
      <w:r w:rsidR="00F625B2" w:rsidRPr="00DF7D78">
        <w:rPr>
          <w:rFonts w:ascii="游ゴシック" w:eastAsia="游ゴシック" w:hAnsi="游ゴシック" w:hint="eastAsia"/>
          <w:sz w:val="21"/>
          <w:szCs w:val="21"/>
        </w:rPr>
        <w:t>あくまで見本ですので、適宜、アレンジしてご使用いただいて構いません。</w:t>
      </w:r>
    </w:p>
    <w:p w14:paraId="7F30A9D2" w14:textId="1D142B8A" w:rsidR="00607E8A" w:rsidRPr="001D3A6B" w:rsidRDefault="007013BF" w:rsidP="001D3A6B">
      <w:pPr>
        <w:pStyle w:val="a7"/>
        <w:numPr>
          <w:ilvl w:val="0"/>
          <w:numId w:val="10"/>
        </w:numPr>
        <w:spacing w:line="0" w:lineRule="atLeast"/>
        <w:ind w:leftChars="0"/>
        <w:rPr>
          <w:rFonts w:ascii="游ゴシック" w:eastAsia="游ゴシック" w:hAnsi="游ゴシック"/>
          <w:sz w:val="21"/>
          <w:szCs w:val="21"/>
        </w:rPr>
      </w:pPr>
      <w:r w:rsidRPr="001D3A6B">
        <w:rPr>
          <w:rFonts w:ascii="游ゴシック" w:eastAsia="游ゴシック" w:hAnsi="游ゴシック" w:hint="eastAsia"/>
          <w:sz w:val="21"/>
          <w:szCs w:val="21"/>
        </w:rPr>
        <w:t>地域に即した学びとなるよう、実際の</w:t>
      </w:r>
      <w:r w:rsidR="005F6310" w:rsidRPr="001D3A6B">
        <w:rPr>
          <w:rFonts w:ascii="游ゴシック" w:eastAsia="游ゴシック" w:hAnsi="游ゴシック" w:hint="eastAsia"/>
          <w:sz w:val="21"/>
          <w:szCs w:val="21"/>
        </w:rPr>
        <w:t>支援事例を題材とする方が望ましいですが</w:t>
      </w:r>
      <w:r w:rsidR="005F6310" w:rsidRPr="005369CB">
        <w:rPr>
          <w:rFonts w:ascii="游ゴシック" w:eastAsia="游ゴシック" w:hAnsi="游ゴシック" w:hint="eastAsia"/>
          <w:sz w:val="21"/>
          <w:szCs w:val="21"/>
        </w:rPr>
        <w:t>、「</w:t>
      </w:r>
      <w:r w:rsidR="005F6310" w:rsidRPr="001D3A6B">
        <w:rPr>
          <w:rFonts w:ascii="游ゴシック" w:eastAsia="游ゴシック" w:hAnsi="游ゴシック" w:hint="eastAsia"/>
          <w:sz w:val="21"/>
          <w:szCs w:val="21"/>
        </w:rPr>
        <w:t>事例提供者</w:t>
      </w:r>
      <w:r w:rsidRPr="001D3A6B">
        <w:rPr>
          <w:rFonts w:ascii="游ゴシック" w:eastAsia="游ゴシック" w:hAnsi="游ゴシック" w:hint="eastAsia"/>
          <w:sz w:val="21"/>
          <w:szCs w:val="21"/>
        </w:rPr>
        <w:t>（記入者）に</w:t>
      </w:r>
      <w:r w:rsidR="00F31195" w:rsidRPr="001D3A6B">
        <w:rPr>
          <w:rFonts w:ascii="游ゴシック" w:eastAsia="游ゴシック" w:hAnsi="游ゴシック" w:hint="eastAsia"/>
          <w:sz w:val="21"/>
          <w:szCs w:val="21"/>
        </w:rPr>
        <w:t>、</w:t>
      </w:r>
      <w:r w:rsidRPr="001D3A6B">
        <w:rPr>
          <w:rFonts w:ascii="游ゴシック" w:eastAsia="游ゴシック" w:hAnsi="游ゴシック" w:hint="eastAsia"/>
          <w:sz w:val="21"/>
          <w:szCs w:val="21"/>
        </w:rPr>
        <w:t>個人の特定につながるような情報は一切記入しないよう</w:t>
      </w:r>
      <w:r w:rsidR="009560BE" w:rsidRPr="001D3A6B">
        <w:rPr>
          <w:rFonts w:ascii="游ゴシック" w:eastAsia="游ゴシック" w:hAnsi="游ゴシック" w:hint="eastAsia"/>
          <w:sz w:val="21"/>
          <w:szCs w:val="21"/>
        </w:rPr>
        <w:t>作成前に注意喚起する」</w:t>
      </w:r>
      <w:r w:rsidRPr="001D3A6B">
        <w:rPr>
          <w:rFonts w:ascii="游ゴシック" w:eastAsia="游ゴシック" w:hAnsi="游ゴシック" w:hint="eastAsia"/>
          <w:sz w:val="21"/>
          <w:szCs w:val="21"/>
        </w:rPr>
        <w:t>など、個人情報の保護に配慮しましょう。</w:t>
      </w:r>
    </w:p>
    <w:p w14:paraId="70836A9C" w14:textId="26F2E63A" w:rsidR="00607E8A" w:rsidRPr="001D3A6B" w:rsidRDefault="007013BF" w:rsidP="001D3A6B">
      <w:pPr>
        <w:pStyle w:val="a7"/>
        <w:numPr>
          <w:ilvl w:val="0"/>
          <w:numId w:val="10"/>
        </w:numPr>
        <w:spacing w:line="0" w:lineRule="atLeast"/>
        <w:ind w:leftChars="0"/>
        <w:rPr>
          <w:rFonts w:ascii="游ゴシック" w:eastAsia="游ゴシック" w:hAnsi="游ゴシック"/>
          <w:sz w:val="21"/>
          <w:szCs w:val="21"/>
        </w:rPr>
      </w:pPr>
      <w:r w:rsidRPr="001D3A6B">
        <w:rPr>
          <w:rFonts w:ascii="游ゴシック" w:eastAsia="游ゴシック" w:hAnsi="游ゴシック" w:hint="eastAsia"/>
          <w:sz w:val="21"/>
          <w:szCs w:val="21"/>
        </w:rPr>
        <w:t>学ぶことが目的であり、評価や批判はしないことを全員で共有し、事例提供者（記入者）が安心して作成できるようにしましょう。</w:t>
      </w:r>
    </w:p>
    <w:p w14:paraId="6CFB092F" w14:textId="0A3ED7F0" w:rsidR="009560BE" w:rsidRDefault="00607E8A" w:rsidP="001D3A6B">
      <w:pPr>
        <w:rPr>
          <w:rFonts w:ascii="游ゴシック" w:eastAsia="游ゴシック" w:hAnsi="游ゴシック"/>
          <w:sz w:val="21"/>
          <w:szCs w:val="21"/>
        </w:rPr>
      </w:pPr>
      <w:r>
        <w:rPr>
          <w:rFonts w:ascii="游ゴシック" w:eastAsia="游ゴシック" w:hAnsi="游ゴシック" w:hint="eastAsia"/>
          <w:sz w:val="21"/>
          <w:szCs w:val="21"/>
        </w:rPr>
        <w:t>◆</w:t>
      </w:r>
      <w:r w:rsidR="009560BE" w:rsidRPr="00607E8A">
        <w:rPr>
          <w:rFonts w:ascii="游ゴシック" w:eastAsia="游ゴシック" w:hAnsi="游ゴシック" w:hint="eastAsia"/>
          <w:sz w:val="21"/>
          <w:szCs w:val="21"/>
        </w:rPr>
        <w:t>事例学習の手順</w:t>
      </w:r>
      <w:bookmarkStart w:id="0" w:name="_GoBack"/>
      <w:bookmarkEnd w:id="0"/>
    </w:p>
    <w:p w14:paraId="59B9317B" w14:textId="77777777" w:rsidR="001D3A6B" w:rsidRPr="001D3A6B" w:rsidRDefault="001D3A6B" w:rsidP="00DF7D78">
      <w:pPr>
        <w:spacing w:line="320" w:lineRule="exact"/>
        <w:jc w:val="left"/>
        <w:rPr>
          <w:rFonts w:ascii="游ゴシック" w:eastAsia="游ゴシック" w:hAnsi="游ゴシック"/>
          <w:bCs/>
          <w:sz w:val="21"/>
          <w:szCs w:val="21"/>
          <w:u w:val="single"/>
        </w:rPr>
      </w:pPr>
      <w:r w:rsidRPr="001D3A6B">
        <w:rPr>
          <w:rFonts w:ascii="游ゴシック" w:eastAsia="游ゴシック" w:hAnsi="游ゴシック" w:hint="eastAsia"/>
          <w:bCs/>
          <w:sz w:val="21"/>
          <w:szCs w:val="21"/>
          <w:u w:val="single"/>
        </w:rPr>
        <w:t>手順１　定例会で事例学習の必要性を話し合う</w:t>
      </w:r>
    </w:p>
    <w:p w14:paraId="30AC10CE" w14:textId="542EAAF5" w:rsidR="001D3A6B" w:rsidRPr="001D3A6B" w:rsidRDefault="001D3A6B" w:rsidP="00DF7D78">
      <w:pPr>
        <w:pStyle w:val="a7"/>
        <w:numPr>
          <w:ilvl w:val="0"/>
          <w:numId w:val="5"/>
        </w:numPr>
        <w:spacing w:line="320" w:lineRule="exact"/>
        <w:ind w:leftChars="0" w:left="360"/>
        <w:rPr>
          <w:rFonts w:ascii="游ゴシック" w:eastAsia="游ゴシック" w:hAnsi="游ゴシック"/>
        </w:rPr>
      </w:pPr>
      <w:r w:rsidRPr="001D3A6B">
        <w:rPr>
          <w:rFonts w:ascii="游ゴシック" w:eastAsia="游ゴシック" w:hAnsi="游ゴシック" w:hint="eastAsia"/>
        </w:rPr>
        <w:t>事例学習の目的や内容を確認し、現在の民生委員活動にとって必要かどうか等を協議しましょう</w:t>
      </w:r>
      <w:r>
        <w:rPr>
          <w:rFonts w:ascii="游ゴシック" w:eastAsia="游ゴシック" w:hAnsi="游ゴシック" w:hint="eastAsia"/>
        </w:rPr>
        <w:t>。</w:t>
      </w:r>
    </w:p>
    <w:p w14:paraId="12C0D60F" w14:textId="0646003B" w:rsidR="001D3A6B" w:rsidRPr="001D3A6B" w:rsidRDefault="001D3A6B" w:rsidP="00DF7D78">
      <w:pPr>
        <w:pStyle w:val="a7"/>
        <w:numPr>
          <w:ilvl w:val="0"/>
          <w:numId w:val="5"/>
        </w:numPr>
        <w:spacing w:line="0" w:lineRule="atLeast"/>
        <w:ind w:leftChars="0" w:left="360"/>
        <w:rPr>
          <w:rFonts w:ascii="游ゴシック" w:eastAsia="游ゴシック" w:hAnsi="游ゴシック"/>
        </w:rPr>
      </w:pPr>
      <w:r w:rsidRPr="001D3A6B">
        <w:rPr>
          <w:rFonts w:ascii="游ゴシック" w:eastAsia="游ゴシック" w:hAnsi="游ゴシック" w:hint="eastAsia"/>
        </w:rPr>
        <w:t>定例会の場で、事例学習に取組むことの合意を得ましょう</w:t>
      </w:r>
      <w:r>
        <w:rPr>
          <w:rFonts w:ascii="游ゴシック" w:eastAsia="游ゴシック" w:hAnsi="游ゴシック" w:hint="eastAsia"/>
        </w:rPr>
        <w:t>。</w:t>
      </w:r>
    </w:p>
    <w:p w14:paraId="661A61CB" w14:textId="77777777" w:rsidR="001D3A6B" w:rsidRPr="001D3A6B" w:rsidRDefault="001D3A6B" w:rsidP="00DF7D78">
      <w:pPr>
        <w:spacing w:beforeLines="20" w:before="60" w:line="320" w:lineRule="exact"/>
        <w:rPr>
          <w:rFonts w:ascii="游ゴシック" w:eastAsia="游ゴシック" w:hAnsi="游ゴシック"/>
          <w:bCs/>
          <w:sz w:val="21"/>
          <w:szCs w:val="21"/>
          <w:u w:val="single"/>
        </w:rPr>
      </w:pPr>
      <w:r w:rsidRPr="001D3A6B">
        <w:rPr>
          <w:rFonts w:ascii="游ゴシック" w:eastAsia="游ゴシック" w:hAnsi="游ゴシック" w:hint="eastAsia"/>
          <w:bCs/>
          <w:sz w:val="21"/>
          <w:szCs w:val="21"/>
          <w:u w:val="single"/>
        </w:rPr>
        <w:t>手順２　ルールの設定と事例の準備</w:t>
      </w:r>
    </w:p>
    <w:p w14:paraId="1D268A9B" w14:textId="3FA5BC1E" w:rsidR="001D3A6B" w:rsidRPr="001D3A6B" w:rsidRDefault="001D3A6B" w:rsidP="00DF7D78">
      <w:pPr>
        <w:pStyle w:val="a7"/>
        <w:numPr>
          <w:ilvl w:val="0"/>
          <w:numId w:val="5"/>
        </w:numPr>
        <w:spacing w:line="320" w:lineRule="exact"/>
        <w:ind w:leftChars="0" w:left="360"/>
        <w:rPr>
          <w:rFonts w:ascii="游ゴシック" w:eastAsia="游ゴシック" w:hAnsi="游ゴシック"/>
          <w:bCs/>
          <w:sz w:val="21"/>
          <w:szCs w:val="21"/>
        </w:rPr>
      </w:pPr>
      <w:r w:rsidRPr="001D3A6B">
        <w:rPr>
          <w:rFonts w:ascii="游ゴシック" w:eastAsia="游ゴシック" w:hAnsi="游ゴシック" w:hint="eastAsia"/>
          <w:bCs/>
          <w:sz w:val="21"/>
          <w:szCs w:val="21"/>
        </w:rPr>
        <w:t>事例学習の時間を確保するために、定例会での報告事項を簡潔に伝えるように準備します</w:t>
      </w:r>
      <w:r>
        <w:rPr>
          <w:rFonts w:ascii="游ゴシック" w:eastAsia="游ゴシック" w:hAnsi="游ゴシック" w:hint="eastAsia"/>
          <w:bCs/>
          <w:sz w:val="21"/>
          <w:szCs w:val="21"/>
        </w:rPr>
        <w:t>。</w:t>
      </w:r>
    </w:p>
    <w:p w14:paraId="6AA01853" w14:textId="46838C2F" w:rsidR="001D3A6B" w:rsidRPr="001D3A6B" w:rsidRDefault="001D3A6B" w:rsidP="00DF7D78">
      <w:pPr>
        <w:pStyle w:val="a7"/>
        <w:numPr>
          <w:ilvl w:val="0"/>
          <w:numId w:val="5"/>
        </w:numPr>
        <w:spacing w:line="320" w:lineRule="exact"/>
        <w:ind w:leftChars="0" w:left="360"/>
        <w:rPr>
          <w:rFonts w:ascii="游ゴシック" w:eastAsia="游ゴシック" w:hAnsi="游ゴシック"/>
          <w:bCs/>
          <w:sz w:val="21"/>
          <w:szCs w:val="21"/>
        </w:rPr>
      </w:pPr>
      <w:r w:rsidRPr="001D3A6B">
        <w:rPr>
          <w:rFonts w:ascii="游ゴシック" w:eastAsia="游ゴシック" w:hAnsi="游ゴシック" w:hint="eastAsia"/>
          <w:bCs/>
          <w:sz w:val="21"/>
          <w:szCs w:val="21"/>
        </w:rPr>
        <w:t>事例提供者を決め、概要をまとめた事例シートの準備を依頼します</w:t>
      </w:r>
      <w:r>
        <w:rPr>
          <w:rFonts w:ascii="游ゴシック" w:eastAsia="游ゴシック" w:hAnsi="游ゴシック" w:hint="eastAsia"/>
          <w:bCs/>
          <w:sz w:val="21"/>
          <w:szCs w:val="21"/>
        </w:rPr>
        <w:t>。</w:t>
      </w:r>
    </w:p>
    <w:p w14:paraId="70049A71" w14:textId="1D614D9A" w:rsidR="001D3A6B" w:rsidRPr="001D3A6B" w:rsidRDefault="001D3A6B" w:rsidP="00DF7D78">
      <w:pPr>
        <w:pStyle w:val="a7"/>
        <w:numPr>
          <w:ilvl w:val="0"/>
          <w:numId w:val="5"/>
        </w:numPr>
        <w:spacing w:line="0" w:lineRule="atLeast"/>
        <w:ind w:leftChars="0" w:left="360"/>
        <w:rPr>
          <w:rFonts w:ascii="游ゴシック" w:eastAsia="游ゴシック" w:hAnsi="游ゴシック"/>
          <w:bCs/>
          <w:sz w:val="21"/>
          <w:szCs w:val="21"/>
        </w:rPr>
      </w:pPr>
      <w:r w:rsidRPr="001D3A6B">
        <w:rPr>
          <w:rFonts w:ascii="游ゴシック" w:eastAsia="游ゴシック" w:hAnsi="游ゴシック" w:hint="eastAsia"/>
          <w:bCs/>
          <w:sz w:val="21"/>
          <w:szCs w:val="21"/>
        </w:rPr>
        <w:t>事例提供者の取組に対する評価や批判をしないことや時間内での学習を進めるための、事例学習のルールを決めます。</w:t>
      </w:r>
    </w:p>
    <w:p w14:paraId="7163A3D3" w14:textId="77777777" w:rsidR="001D3A6B" w:rsidRPr="001D3A6B" w:rsidRDefault="001D3A6B" w:rsidP="00DF7D78">
      <w:pPr>
        <w:spacing w:beforeLines="20" w:before="60" w:line="320" w:lineRule="exact"/>
        <w:rPr>
          <w:rFonts w:ascii="游ゴシック" w:eastAsia="游ゴシック" w:hAnsi="游ゴシック"/>
          <w:bCs/>
          <w:sz w:val="21"/>
          <w:szCs w:val="21"/>
          <w:u w:val="single"/>
        </w:rPr>
      </w:pPr>
      <w:r w:rsidRPr="001D3A6B">
        <w:rPr>
          <w:rFonts w:ascii="游ゴシック" w:eastAsia="游ゴシック" w:hAnsi="游ゴシック" w:hint="eastAsia"/>
          <w:bCs/>
          <w:sz w:val="21"/>
          <w:szCs w:val="21"/>
          <w:u w:val="single"/>
        </w:rPr>
        <w:t xml:space="preserve">手順３　</w:t>
      </w:r>
      <w:r w:rsidRPr="001D3A6B">
        <w:rPr>
          <w:rFonts w:ascii="游ゴシック" w:eastAsia="游ゴシック" w:hAnsi="游ゴシック"/>
          <w:bCs/>
          <w:sz w:val="21"/>
          <w:szCs w:val="21"/>
          <w:u w:val="single"/>
        </w:rPr>
        <w:t>7つのはたらきの視点で事例学習</w:t>
      </w:r>
    </w:p>
    <w:p w14:paraId="1690C73F" w14:textId="72F6AB9F" w:rsidR="001D3A6B" w:rsidRPr="001D3A6B" w:rsidRDefault="001D3A6B" w:rsidP="00DF7D78">
      <w:pPr>
        <w:pStyle w:val="a7"/>
        <w:numPr>
          <w:ilvl w:val="0"/>
          <w:numId w:val="5"/>
        </w:numPr>
        <w:spacing w:line="320" w:lineRule="exact"/>
        <w:ind w:leftChars="0" w:left="360"/>
        <w:rPr>
          <w:rFonts w:ascii="游ゴシック" w:eastAsia="游ゴシック" w:hAnsi="游ゴシック"/>
          <w:bCs/>
          <w:sz w:val="21"/>
          <w:szCs w:val="21"/>
        </w:rPr>
      </w:pPr>
      <w:r w:rsidRPr="001D3A6B">
        <w:rPr>
          <w:rFonts w:ascii="游ゴシック" w:eastAsia="游ゴシック" w:hAnsi="游ゴシック" w:hint="eastAsia"/>
          <w:bCs/>
          <w:sz w:val="21"/>
          <w:szCs w:val="21"/>
        </w:rPr>
        <w:t>定例会で事例学習に入る前に、事例学習のルールを確認します</w:t>
      </w:r>
      <w:r>
        <w:rPr>
          <w:rFonts w:ascii="游ゴシック" w:eastAsia="游ゴシック" w:hAnsi="游ゴシック" w:hint="eastAsia"/>
          <w:bCs/>
          <w:sz w:val="21"/>
          <w:szCs w:val="21"/>
        </w:rPr>
        <w:t>。</w:t>
      </w:r>
    </w:p>
    <w:p w14:paraId="4B387D73" w14:textId="7C22F535" w:rsidR="001D3A6B" w:rsidRPr="001D3A6B" w:rsidRDefault="001D3A6B" w:rsidP="00DF7D78">
      <w:pPr>
        <w:pStyle w:val="a7"/>
        <w:numPr>
          <w:ilvl w:val="0"/>
          <w:numId w:val="5"/>
        </w:numPr>
        <w:spacing w:line="320" w:lineRule="exact"/>
        <w:ind w:leftChars="0" w:left="360"/>
        <w:rPr>
          <w:rFonts w:ascii="游ゴシック" w:eastAsia="游ゴシック" w:hAnsi="游ゴシック"/>
          <w:bCs/>
          <w:sz w:val="21"/>
          <w:szCs w:val="21"/>
        </w:rPr>
      </w:pPr>
      <w:r w:rsidRPr="001D3A6B">
        <w:rPr>
          <w:rFonts w:ascii="游ゴシック" w:eastAsia="游ゴシック" w:hAnsi="游ゴシック" w:hint="eastAsia"/>
          <w:bCs/>
          <w:sz w:val="21"/>
          <w:szCs w:val="21"/>
        </w:rPr>
        <w:t>事例シートを配り、読み合せをします</w:t>
      </w:r>
      <w:r>
        <w:rPr>
          <w:rFonts w:ascii="游ゴシック" w:eastAsia="游ゴシック" w:hAnsi="游ゴシック" w:hint="eastAsia"/>
          <w:bCs/>
          <w:sz w:val="21"/>
          <w:szCs w:val="21"/>
        </w:rPr>
        <w:t>。</w:t>
      </w:r>
    </w:p>
    <w:p w14:paraId="51317C25" w14:textId="377CA245" w:rsidR="001D3A6B" w:rsidRPr="001D3A6B" w:rsidRDefault="001D3A6B" w:rsidP="00DF7D78">
      <w:pPr>
        <w:pStyle w:val="a7"/>
        <w:numPr>
          <w:ilvl w:val="0"/>
          <w:numId w:val="5"/>
        </w:numPr>
        <w:spacing w:line="320" w:lineRule="exact"/>
        <w:ind w:leftChars="0" w:left="360"/>
        <w:rPr>
          <w:rFonts w:ascii="游ゴシック" w:eastAsia="游ゴシック" w:hAnsi="游ゴシック"/>
          <w:bCs/>
          <w:sz w:val="21"/>
          <w:szCs w:val="21"/>
        </w:rPr>
      </w:pPr>
      <w:r w:rsidRPr="001D3A6B">
        <w:rPr>
          <w:rFonts w:ascii="游ゴシック" w:eastAsia="游ゴシック" w:hAnsi="游ゴシック" w:hint="eastAsia"/>
          <w:bCs/>
          <w:sz w:val="21"/>
          <w:szCs w:val="21"/>
        </w:rPr>
        <w:t>民生委員の役割を意識した事例学習にするため、民生委員の</w:t>
      </w:r>
      <w:r w:rsidRPr="001D3A6B">
        <w:rPr>
          <w:rFonts w:ascii="游ゴシック" w:eastAsia="游ゴシック" w:hAnsi="游ゴシック"/>
          <w:bCs/>
          <w:sz w:val="21"/>
          <w:szCs w:val="21"/>
        </w:rPr>
        <w:t>7つのはたらきの視点で、事柄を整理し、意見交換を行います</w:t>
      </w:r>
      <w:r>
        <w:rPr>
          <w:rFonts w:ascii="游ゴシック" w:eastAsia="游ゴシック" w:hAnsi="游ゴシック" w:hint="eastAsia"/>
          <w:bCs/>
          <w:sz w:val="21"/>
          <w:szCs w:val="21"/>
        </w:rPr>
        <w:t>。</w:t>
      </w:r>
    </w:p>
    <w:p w14:paraId="72746956" w14:textId="436A0283" w:rsidR="001D3A6B" w:rsidRPr="001D3A6B" w:rsidRDefault="001D3A6B" w:rsidP="00DF7D78">
      <w:pPr>
        <w:pStyle w:val="a7"/>
        <w:numPr>
          <w:ilvl w:val="0"/>
          <w:numId w:val="5"/>
        </w:numPr>
        <w:spacing w:line="320" w:lineRule="exact"/>
        <w:ind w:leftChars="0" w:left="360"/>
        <w:rPr>
          <w:rFonts w:ascii="游ゴシック" w:eastAsia="游ゴシック" w:hAnsi="游ゴシック"/>
          <w:bCs/>
          <w:sz w:val="21"/>
          <w:szCs w:val="21"/>
        </w:rPr>
      </w:pPr>
      <w:r w:rsidRPr="001D3A6B">
        <w:rPr>
          <w:rFonts w:ascii="游ゴシック" w:eastAsia="游ゴシック" w:hAnsi="游ゴシック" w:hint="eastAsia"/>
          <w:bCs/>
          <w:sz w:val="21"/>
          <w:szCs w:val="21"/>
        </w:rPr>
        <w:t>意見交換で出たことをみんなで確認し、地域における自分たちの役割を意識して整理します</w:t>
      </w:r>
      <w:r>
        <w:rPr>
          <w:rFonts w:ascii="游ゴシック" w:eastAsia="游ゴシック" w:hAnsi="游ゴシック" w:hint="eastAsia"/>
          <w:bCs/>
          <w:sz w:val="21"/>
          <w:szCs w:val="21"/>
        </w:rPr>
        <w:t>。</w:t>
      </w:r>
    </w:p>
    <w:p w14:paraId="5E4949A4" w14:textId="54EF4670" w:rsidR="001D3A6B" w:rsidRPr="001D3A6B" w:rsidRDefault="001D3A6B" w:rsidP="00DF7D78">
      <w:pPr>
        <w:pStyle w:val="a7"/>
        <w:numPr>
          <w:ilvl w:val="0"/>
          <w:numId w:val="5"/>
        </w:numPr>
        <w:spacing w:line="0" w:lineRule="atLeast"/>
        <w:ind w:leftChars="0" w:left="360"/>
        <w:rPr>
          <w:rFonts w:ascii="游ゴシック" w:eastAsia="游ゴシック" w:hAnsi="游ゴシック"/>
          <w:bCs/>
          <w:sz w:val="21"/>
          <w:szCs w:val="21"/>
        </w:rPr>
      </w:pPr>
      <w:r w:rsidRPr="001D3A6B">
        <w:rPr>
          <w:rFonts w:ascii="游ゴシック" w:eastAsia="游ゴシック" w:hAnsi="游ゴシック" w:hint="eastAsia"/>
          <w:bCs/>
          <w:sz w:val="21"/>
          <w:szCs w:val="21"/>
        </w:rPr>
        <w:t>個人情報保護の観点から、事例シートは回収します</w:t>
      </w:r>
      <w:r>
        <w:rPr>
          <w:rFonts w:ascii="游ゴシック" w:eastAsia="游ゴシック" w:hAnsi="游ゴシック" w:hint="eastAsia"/>
          <w:bCs/>
          <w:sz w:val="21"/>
          <w:szCs w:val="21"/>
        </w:rPr>
        <w:t>。</w:t>
      </w:r>
    </w:p>
    <w:p w14:paraId="3D9418BC" w14:textId="77777777" w:rsidR="001D3A6B" w:rsidRPr="001D3A6B" w:rsidRDefault="001D3A6B" w:rsidP="00DF7D78">
      <w:pPr>
        <w:spacing w:beforeLines="20" w:before="60" w:line="320" w:lineRule="exact"/>
        <w:rPr>
          <w:rFonts w:ascii="游ゴシック" w:eastAsia="游ゴシック" w:hAnsi="游ゴシック"/>
          <w:bCs/>
          <w:sz w:val="21"/>
          <w:szCs w:val="21"/>
          <w:u w:val="single"/>
        </w:rPr>
      </w:pPr>
      <w:r w:rsidRPr="001D3A6B">
        <w:rPr>
          <w:rFonts w:ascii="游ゴシック" w:eastAsia="游ゴシック" w:hAnsi="游ゴシック" w:hint="eastAsia"/>
          <w:bCs/>
          <w:sz w:val="21"/>
          <w:szCs w:val="21"/>
          <w:u w:val="single"/>
        </w:rPr>
        <w:t>手順４　民生委員の学びの場</w:t>
      </w:r>
    </w:p>
    <w:p w14:paraId="6BB27C96" w14:textId="7A6E1146" w:rsidR="001D3A6B" w:rsidRPr="001D3A6B" w:rsidRDefault="001D3A6B" w:rsidP="00DF7D78">
      <w:pPr>
        <w:pStyle w:val="a7"/>
        <w:numPr>
          <w:ilvl w:val="0"/>
          <w:numId w:val="5"/>
        </w:numPr>
        <w:spacing w:line="0" w:lineRule="atLeast"/>
        <w:ind w:leftChars="0" w:left="360"/>
        <w:rPr>
          <w:rFonts w:ascii="游ゴシック" w:eastAsia="游ゴシック" w:hAnsi="游ゴシック"/>
          <w:sz w:val="21"/>
          <w:szCs w:val="21"/>
        </w:rPr>
      </w:pPr>
      <w:r w:rsidRPr="001D3A6B">
        <w:rPr>
          <w:rFonts w:ascii="游ゴシック" w:eastAsia="游ゴシック" w:hAnsi="游ゴシック" w:hint="eastAsia"/>
          <w:bCs/>
          <w:sz w:val="21"/>
          <w:szCs w:val="21"/>
        </w:rPr>
        <w:t>定例会において、次の事例学習につながるような活動上の悩み等を出し合いましょう</w:t>
      </w:r>
      <w:r>
        <w:rPr>
          <w:rFonts w:ascii="游ゴシック" w:eastAsia="游ゴシック" w:hAnsi="游ゴシック" w:hint="eastAsia"/>
          <w:bCs/>
          <w:sz w:val="21"/>
          <w:szCs w:val="21"/>
        </w:rPr>
        <w:t>。</w:t>
      </w:r>
    </w:p>
    <w:p w14:paraId="17EB6AF7" w14:textId="463F4CED" w:rsidR="005F6310" w:rsidRPr="00607E8A" w:rsidRDefault="00A925C6" w:rsidP="001D3A6B">
      <w:pPr>
        <w:rPr>
          <w:rFonts w:ascii="游ゴシック" w:eastAsia="游ゴシック" w:hAnsi="游ゴシック"/>
          <w:sz w:val="21"/>
          <w:szCs w:val="21"/>
        </w:rPr>
      </w:pPr>
      <w:r w:rsidRPr="00607E8A">
        <w:rPr>
          <w:rFonts w:ascii="游ゴシック" w:eastAsia="游ゴシック" w:hAnsi="游ゴシック" w:hint="eastAsia"/>
          <w:sz w:val="21"/>
          <w:szCs w:val="21"/>
        </w:rPr>
        <w:t>◆記入にあたって</w:t>
      </w:r>
    </w:p>
    <w:p w14:paraId="747A8ADE" w14:textId="23CA8E69" w:rsidR="003E4815" w:rsidRPr="00DF7D78" w:rsidRDefault="00DF4CD2" w:rsidP="00DF7D78">
      <w:pPr>
        <w:pStyle w:val="a7"/>
        <w:numPr>
          <w:ilvl w:val="0"/>
          <w:numId w:val="13"/>
        </w:numPr>
        <w:spacing w:line="0" w:lineRule="atLeast"/>
        <w:ind w:leftChars="0"/>
        <w:rPr>
          <w:rFonts w:ascii="游ゴシック" w:eastAsia="游ゴシック" w:hAnsi="游ゴシック"/>
          <w:sz w:val="21"/>
          <w:szCs w:val="21"/>
        </w:rPr>
      </w:pPr>
      <w:r w:rsidRPr="00DF7D78">
        <w:rPr>
          <w:rFonts w:ascii="游ゴシック" w:eastAsia="游ゴシック" w:hAnsi="游ゴシック" w:hint="eastAsia"/>
          <w:sz w:val="21"/>
          <w:szCs w:val="21"/>
        </w:rPr>
        <w:t>細部にこだわる必要はないので、あまり時間をかけず、印象や記憶に残っていることなどを中心に記入し</w:t>
      </w:r>
      <w:r w:rsidR="003E4815" w:rsidRPr="00DF7D78">
        <w:rPr>
          <w:rFonts w:ascii="游ゴシック" w:eastAsia="游ゴシック" w:hAnsi="游ゴシック" w:hint="eastAsia"/>
          <w:sz w:val="21"/>
          <w:szCs w:val="21"/>
        </w:rPr>
        <w:t>ましょう。</w:t>
      </w:r>
    </w:p>
    <w:p w14:paraId="21A9DC00" w14:textId="41B42C54" w:rsidR="00DF4CD2" w:rsidRPr="00DF7D78" w:rsidRDefault="003E4815" w:rsidP="00DF7D78">
      <w:pPr>
        <w:pStyle w:val="a7"/>
        <w:numPr>
          <w:ilvl w:val="0"/>
          <w:numId w:val="13"/>
        </w:numPr>
        <w:spacing w:line="0" w:lineRule="atLeast"/>
        <w:ind w:leftChars="0"/>
        <w:rPr>
          <w:rFonts w:ascii="游ゴシック" w:eastAsia="游ゴシック" w:hAnsi="游ゴシック"/>
          <w:sz w:val="21"/>
          <w:szCs w:val="21"/>
        </w:rPr>
      </w:pPr>
      <w:r w:rsidRPr="00DF7D78">
        <w:rPr>
          <w:rFonts w:ascii="游ゴシック" w:eastAsia="游ゴシック" w:hAnsi="游ゴシック" w:hint="eastAsia"/>
          <w:sz w:val="21"/>
          <w:szCs w:val="21"/>
        </w:rPr>
        <w:t>必要な詳細情報は、事例学習の場で</w:t>
      </w:r>
      <w:r w:rsidR="00830F9A" w:rsidRPr="00DF7D78">
        <w:rPr>
          <w:rFonts w:ascii="游ゴシック" w:eastAsia="游ゴシック" w:hAnsi="游ゴシック" w:hint="eastAsia"/>
          <w:sz w:val="21"/>
          <w:szCs w:val="21"/>
        </w:rPr>
        <w:t>話し合いながら</w:t>
      </w:r>
      <w:r w:rsidRPr="00DF7D78">
        <w:rPr>
          <w:rFonts w:ascii="游ゴシック" w:eastAsia="游ゴシック" w:hAnsi="游ゴシック" w:hint="eastAsia"/>
          <w:sz w:val="21"/>
          <w:szCs w:val="21"/>
        </w:rPr>
        <w:t>、口頭で追加説明するようにしましょう。</w:t>
      </w:r>
    </w:p>
    <w:p w14:paraId="45CA4A6F" w14:textId="0EA3092C" w:rsidR="001D3A6B" w:rsidRPr="00DF7D78" w:rsidRDefault="005F6310" w:rsidP="00DF7D78">
      <w:pPr>
        <w:pStyle w:val="a7"/>
        <w:widowControl/>
        <w:numPr>
          <w:ilvl w:val="0"/>
          <w:numId w:val="13"/>
        </w:numPr>
        <w:spacing w:line="0" w:lineRule="atLeast"/>
        <w:ind w:leftChars="0"/>
        <w:jc w:val="left"/>
        <w:rPr>
          <w:rFonts w:ascii="游ゴシック" w:eastAsia="游ゴシック" w:hAnsi="游ゴシック"/>
          <w:sz w:val="21"/>
          <w:szCs w:val="21"/>
        </w:rPr>
      </w:pPr>
      <w:r w:rsidRPr="00DF7D78">
        <w:rPr>
          <w:rFonts w:ascii="游ゴシック" w:eastAsia="游ゴシック" w:hAnsi="游ゴシック" w:hint="eastAsia"/>
          <w:sz w:val="21"/>
          <w:szCs w:val="21"/>
        </w:rPr>
        <w:t>事例学習終了後は、事例シートを回収し、シュレッダーにかけるなど適切に処理しましょう。</w:t>
      </w:r>
      <w:r w:rsidR="001D3A6B" w:rsidRPr="00DF7D78">
        <w:rPr>
          <w:rFonts w:ascii="游ゴシック" w:eastAsia="游ゴシック" w:hAnsi="游ゴシック"/>
          <w:sz w:val="21"/>
          <w:szCs w:val="21"/>
        </w:rPr>
        <w:br w:type="page"/>
      </w:r>
    </w:p>
    <w:p w14:paraId="0CCD9F44" w14:textId="50813E41" w:rsidR="001D3A6B" w:rsidRPr="00E408E6" w:rsidRDefault="003038FC" w:rsidP="00BB715A">
      <w:pPr>
        <w:spacing w:line="0" w:lineRule="atLeast"/>
        <w:jc w:val="center"/>
        <w:rPr>
          <w:rFonts w:ascii="游ゴシック" w:eastAsia="游ゴシック" w:hAnsi="游ゴシック"/>
          <w:sz w:val="32"/>
          <w:szCs w:val="32"/>
        </w:rPr>
      </w:pPr>
      <w:r>
        <w:rPr>
          <w:rFonts w:ascii="游ゴシック" w:eastAsia="游ゴシック" w:hAnsi="游ゴシック" w:hint="eastAsia"/>
          <w:sz w:val="32"/>
          <w:szCs w:val="32"/>
        </w:rPr>
        <w:lastRenderedPageBreak/>
        <w:t>【</w:t>
      </w:r>
      <w:r w:rsidR="001D3A6B" w:rsidRPr="00E408E6">
        <w:rPr>
          <w:rFonts w:ascii="游ゴシック" w:eastAsia="游ゴシック" w:hAnsi="游ゴシック" w:hint="eastAsia"/>
          <w:sz w:val="32"/>
          <w:szCs w:val="32"/>
        </w:rPr>
        <w:t>事例シート</w:t>
      </w:r>
      <w:r>
        <w:rPr>
          <w:rFonts w:ascii="游ゴシック" w:eastAsia="游ゴシック" w:hAnsi="游ゴシック" w:hint="eastAsia"/>
          <w:sz w:val="32"/>
          <w:szCs w:val="32"/>
        </w:rPr>
        <w:t>】</w:t>
      </w:r>
    </w:p>
    <w:tbl>
      <w:tblPr>
        <w:tblStyle w:val="a8"/>
        <w:tblW w:w="0" w:type="auto"/>
        <w:tblLook w:val="04A0" w:firstRow="1" w:lastRow="0" w:firstColumn="1" w:lastColumn="0" w:noHBand="0" w:noVBand="1"/>
      </w:tblPr>
      <w:tblGrid>
        <w:gridCol w:w="7792"/>
        <w:gridCol w:w="1836"/>
      </w:tblGrid>
      <w:tr w:rsidR="00BB715A" w14:paraId="19C2B837" w14:textId="77777777" w:rsidTr="00BB715A">
        <w:trPr>
          <w:trHeight w:val="1020"/>
        </w:trPr>
        <w:tc>
          <w:tcPr>
            <w:tcW w:w="9628" w:type="dxa"/>
            <w:gridSpan w:val="2"/>
          </w:tcPr>
          <w:p w14:paraId="2964C412" w14:textId="51F22837" w:rsidR="00BB715A" w:rsidRDefault="00BB715A" w:rsidP="001D3A6B">
            <w:pPr>
              <w:spacing w:line="0" w:lineRule="atLeast"/>
              <w:rPr>
                <w:rFonts w:ascii="游ゴシック" w:eastAsia="游ゴシック" w:hAnsi="游ゴシック"/>
                <w:sz w:val="21"/>
                <w:szCs w:val="21"/>
              </w:rPr>
            </w:pPr>
            <w:r>
              <w:rPr>
                <w:rFonts w:ascii="游ゴシック" w:eastAsia="游ゴシック" w:hAnsi="游ゴシック" w:hint="eastAsia"/>
                <w:sz w:val="21"/>
                <w:szCs w:val="21"/>
              </w:rPr>
              <w:t>▽タイトル</w:t>
            </w:r>
          </w:p>
        </w:tc>
      </w:tr>
      <w:tr w:rsidR="00BB715A" w14:paraId="31BB9F65" w14:textId="77777777" w:rsidTr="00BB715A">
        <w:trPr>
          <w:trHeight w:val="1020"/>
        </w:trPr>
        <w:tc>
          <w:tcPr>
            <w:tcW w:w="9628" w:type="dxa"/>
            <w:gridSpan w:val="2"/>
          </w:tcPr>
          <w:p w14:paraId="51291FF3" w14:textId="7CDC26FB" w:rsidR="00BB715A" w:rsidRDefault="00BB715A" w:rsidP="001D3A6B">
            <w:pPr>
              <w:spacing w:line="0" w:lineRule="atLeast"/>
              <w:rPr>
                <w:rFonts w:ascii="游ゴシック" w:eastAsia="游ゴシック" w:hAnsi="游ゴシック"/>
                <w:sz w:val="21"/>
                <w:szCs w:val="21"/>
              </w:rPr>
            </w:pPr>
            <w:r>
              <w:rPr>
                <w:rFonts w:ascii="游ゴシック" w:eastAsia="游ゴシック" w:hAnsi="游ゴシック" w:hint="eastAsia"/>
                <w:sz w:val="21"/>
                <w:szCs w:val="21"/>
              </w:rPr>
              <w:t>▽仮名、年代、性別</w:t>
            </w:r>
          </w:p>
        </w:tc>
      </w:tr>
      <w:tr w:rsidR="00BB715A" w14:paraId="42B5D0E2" w14:textId="77777777" w:rsidTr="00BB715A">
        <w:trPr>
          <w:trHeight w:val="2665"/>
        </w:trPr>
        <w:tc>
          <w:tcPr>
            <w:tcW w:w="9628" w:type="dxa"/>
            <w:gridSpan w:val="2"/>
          </w:tcPr>
          <w:p w14:paraId="4B52CE01" w14:textId="4024E30B" w:rsidR="00BB715A" w:rsidRDefault="00BB715A" w:rsidP="001D3A6B">
            <w:pPr>
              <w:spacing w:line="0" w:lineRule="atLeast"/>
              <w:rPr>
                <w:rFonts w:ascii="游ゴシック" w:eastAsia="游ゴシック" w:hAnsi="游ゴシック"/>
                <w:sz w:val="21"/>
                <w:szCs w:val="21"/>
              </w:rPr>
            </w:pPr>
            <w:r>
              <w:rPr>
                <w:rFonts w:ascii="游ゴシック" w:eastAsia="游ゴシック" w:hAnsi="游ゴシック" w:hint="eastAsia"/>
                <w:sz w:val="21"/>
                <w:szCs w:val="21"/>
              </w:rPr>
              <w:t>▽事例の概要　※箇条書きで整理</w:t>
            </w:r>
          </w:p>
        </w:tc>
      </w:tr>
      <w:tr w:rsidR="00BB715A" w14:paraId="45C4CC38" w14:textId="77777777" w:rsidTr="00BB715A">
        <w:trPr>
          <w:trHeight w:val="1701"/>
        </w:trPr>
        <w:tc>
          <w:tcPr>
            <w:tcW w:w="7792" w:type="dxa"/>
          </w:tcPr>
          <w:p w14:paraId="541B43BE" w14:textId="1B5D5964" w:rsidR="00BB715A" w:rsidRDefault="00BB715A" w:rsidP="001D3A6B">
            <w:pPr>
              <w:spacing w:line="0" w:lineRule="atLeast"/>
              <w:rPr>
                <w:rFonts w:ascii="游ゴシック" w:eastAsia="游ゴシック" w:hAnsi="游ゴシック"/>
                <w:sz w:val="21"/>
                <w:szCs w:val="21"/>
              </w:rPr>
            </w:pPr>
            <w:r>
              <w:rPr>
                <w:rFonts w:ascii="游ゴシック" w:eastAsia="游ゴシック" w:hAnsi="游ゴシック" w:hint="eastAsia"/>
                <w:sz w:val="21"/>
                <w:szCs w:val="21"/>
              </w:rPr>
              <w:t>▽どのような経緯（経路）で自分につながったか</w:t>
            </w:r>
          </w:p>
        </w:tc>
        <w:tc>
          <w:tcPr>
            <w:tcW w:w="1836" w:type="dxa"/>
            <w:vMerge w:val="restart"/>
          </w:tcPr>
          <w:p w14:paraId="61C3CEC6" w14:textId="77777777" w:rsidR="00BB715A" w:rsidRDefault="00BB715A" w:rsidP="001D3A6B">
            <w:pPr>
              <w:spacing w:line="0" w:lineRule="atLeast"/>
              <w:rPr>
                <w:rFonts w:ascii="游ゴシック" w:eastAsia="游ゴシック" w:hAnsi="游ゴシック"/>
                <w:sz w:val="21"/>
                <w:szCs w:val="21"/>
              </w:rPr>
            </w:pPr>
            <w:r>
              <w:rPr>
                <w:rFonts w:ascii="游ゴシック" w:eastAsia="游ゴシック" w:hAnsi="游ゴシック" w:hint="eastAsia"/>
                <w:sz w:val="21"/>
                <w:szCs w:val="21"/>
              </w:rPr>
              <w:t>▽該当する</w:t>
            </w:r>
          </w:p>
          <w:p w14:paraId="3502C177" w14:textId="157C6F3A" w:rsidR="00BB715A" w:rsidRDefault="00BB715A" w:rsidP="00BB715A">
            <w:pPr>
              <w:spacing w:line="0" w:lineRule="atLeast"/>
              <w:ind w:firstLineChars="100" w:firstLine="191"/>
              <w:rPr>
                <w:rFonts w:ascii="游ゴシック" w:eastAsia="游ゴシック" w:hAnsi="游ゴシック"/>
                <w:sz w:val="21"/>
                <w:szCs w:val="21"/>
              </w:rPr>
            </w:pPr>
            <w:r>
              <w:rPr>
                <w:rFonts w:ascii="游ゴシック" w:eastAsia="游ゴシック" w:hAnsi="游ゴシック" w:hint="eastAsia"/>
                <w:sz w:val="21"/>
                <w:szCs w:val="21"/>
              </w:rPr>
              <w:t>７つのはたらき</w:t>
            </w:r>
          </w:p>
        </w:tc>
      </w:tr>
      <w:tr w:rsidR="00BB715A" w14:paraId="03E1E85C" w14:textId="77777777" w:rsidTr="00BB715A">
        <w:trPr>
          <w:trHeight w:val="5669"/>
        </w:trPr>
        <w:tc>
          <w:tcPr>
            <w:tcW w:w="7792" w:type="dxa"/>
          </w:tcPr>
          <w:p w14:paraId="29DB5FF4" w14:textId="6D97865C" w:rsidR="00BB715A" w:rsidRDefault="00BB715A" w:rsidP="00BB715A">
            <w:pPr>
              <w:spacing w:line="0" w:lineRule="atLeast"/>
              <w:ind w:left="191" w:hangingChars="100" w:hanging="191"/>
              <w:rPr>
                <w:rFonts w:ascii="游ゴシック" w:eastAsia="游ゴシック" w:hAnsi="游ゴシック"/>
                <w:sz w:val="21"/>
                <w:szCs w:val="21"/>
              </w:rPr>
            </w:pPr>
            <w:r>
              <w:rPr>
                <w:rFonts w:ascii="游ゴシック" w:eastAsia="游ゴシック" w:hAnsi="游ゴシック" w:hint="eastAsia"/>
                <w:sz w:val="21"/>
                <w:szCs w:val="21"/>
              </w:rPr>
              <w:t>▽どの様に関わったか（関わっているか）　※時系列で整理</w:t>
            </w:r>
          </w:p>
        </w:tc>
        <w:tc>
          <w:tcPr>
            <w:tcW w:w="1836" w:type="dxa"/>
            <w:vMerge/>
          </w:tcPr>
          <w:p w14:paraId="5FFCE4C9" w14:textId="77777777" w:rsidR="00BB715A" w:rsidRDefault="00BB715A" w:rsidP="001D3A6B">
            <w:pPr>
              <w:spacing w:line="0" w:lineRule="atLeast"/>
              <w:rPr>
                <w:rFonts w:ascii="游ゴシック" w:eastAsia="游ゴシック" w:hAnsi="游ゴシック"/>
                <w:sz w:val="21"/>
                <w:szCs w:val="21"/>
              </w:rPr>
            </w:pPr>
          </w:p>
        </w:tc>
      </w:tr>
      <w:tr w:rsidR="00BB715A" w14:paraId="355D1650" w14:textId="77777777" w:rsidTr="00BB715A">
        <w:trPr>
          <w:trHeight w:val="1984"/>
        </w:trPr>
        <w:tc>
          <w:tcPr>
            <w:tcW w:w="9628" w:type="dxa"/>
            <w:gridSpan w:val="2"/>
          </w:tcPr>
          <w:p w14:paraId="51729F7B" w14:textId="2390323C" w:rsidR="00BB715A" w:rsidRDefault="00BB715A" w:rsidP="001D3A6B">
            <w:pPr>
              <w:spacing w:line="0" w:lineRule="atLeast"/>
              <w:rPr>
                <w:rFonts w:ascii="游ゴシック" w:eastAsia="游ゴシック" w:hAnsi="游ゴシック"/>
                <w:sz w:val="21"/>
                <w:szCs w:val="21"/>
              </w:rPr>
            </w:pPr>
            <w:r>
              <w:rPr>
                <w:rFonts w:ascii="游ゴシック" w:eastAsia="游ゴシック" w:hAnsi="游ゴシック" w:hint="eastAsia"/>
                <w:sz w:val="21"/>
                <w:szCs w:val="21"/>
              </w:rPr>
              <w:t>▽関係機関</w:t>
            </w:r>
            <w:r w:rsidR="003038FC">
              <w:rPr>
                <w:rFonts w:ascii="游ゴシック" w:eastAsia="游ゴシック" w:hAnsi="游ゴシック" w:hint="eastAsia"/>
                <w:sz w:val="21"/>
                <w:szCs w:val="21"/>
              </w:rPr>
              <w:t>等</w:t>
            </w:r>
            <w:r>
              <w:rPr>
                <w:rFonts w:ascii="游ゴシック" w:eastAsia="游ゴシック" w:hAnsi="游ゴシック" w:hint="eastAsia"/>
                <w:sz w:val="21"/>
                <w:szCs w:val="21"/>
              </w:rPr>
              <w:t>の整理（関わりの内容も含む）</w:t>
            </w:r>
          </w:p>
        </w:tc>
      </w:tr>
    </w:tbl>
    <w:p w14:paraId="311F838A" w14:textId="77777777" w:rsidR="001D3A6B" w:rsidRPr="001D3A6B" w:rsidRDefault="001D3A6B" w:rsidP="00BB715A">
      <w:pPr>
        <w:spacing w:line="20" w:lineRule="exact"/>
        <w:rPr>
          <w:rFonts w:ascii="游ゴシック" w:eastAsia="游ゴシック" w:hAnsi="游ゴシック"/>
          <w:sz w:val="21"/>
          <w:szCs w:val="21"/>
        </w:rPr>
      </w:pPr>
    </w:p>
    <w:sectPr w:rsidR="001D3A6B" w:rsidRPr="001D3A6B" w:rsidSect="00795DD0">
      <w:footerReference w:type="default" r:id="rId10"/>
      <w:pgSz w:w="11906" w:h="16838" w:code="9"/>
      <w:pgMar w:top="1021" w:right="1134" w:bottom="1021" w:left="1134" w:header="851" w:footer="510" w:gutter="0"/>
      <w:cols w:space="425"/>
      <w:docGrid w:type="linesAndChars" w:linePitch="30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5CF76" w14:textId="77777777" w:rsidR="00AF49F5" w:rsidRDefault="00AF49F5" w:rsidP="0045724B">
      <w:r>
        <w:separator/>
      </w:r>
    </w:p>
  </w:endnote>
  <w:endnote w:type="continuationSeparator" w:id="0">
    <w:p w14:paraId="6AFD3025" w14:textId="77777777" w:rsidR="00AF49F5" w:rsidRDefault="00AF49F5" w:rsidP="0045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FF093" w14:textId="20B3D1E1" w:rsidR="00795DD0" w:rsidRPr="00795DD0" w:rsidRDefault="00795DD0" w:rsidP="00795DD0">
    <w:pPr>
      <w:pStyle w:val="a5"/>
      <w:jc w:val="right"/>
      <w:rPr>
        <w:rFonts w:ascii="游ゴシック" w:eastAsia="游ゴシック" w:hAnsi="游ゴシック"/>
        <w:sz w:val="18"/>
        <w:szCs w:val="21"/>
      </w:rPr>
    </w:pPr>
    <w:r>
      <w:rPr>
        <w:rFonts w:ascii="游ゴシック" w:eastAsia="游ゴシック" w:hAnsi="游ゴシック" w:hint="eastAsia"/>
        <w:sz w:val="18"/>
        <w:szCs w:val="21"/>
      </w:rPr>
      <w:t>平成31</w:t>
    </w:r>
    <w:r w:rsidRPr="00795DD0">
      <w:rPr>
        <w:rFonts w:ascii="游ゴシック" w:eastAsia="游ゴシック" w:hAnsi="游ゴシック" w:hint="eastAsia"/>
        <w:sz w:val="18"/>
        <w:szCs w:val="21"/>
      </w:rPr>
      <w:t>年度沖縄県民生委員活動活性化事業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32726" w14:textId="77777777" w:rsidR="00AF49F5" w:rsidRDefault="00AF49F5" w:rsidP="0045724B">
      <w:r>
        <w:separator/>
      </w:r>
    </w:p>
  </w:footnote>
  <w:footnote w:type="continuationSeparator" w:id="0">
    <w:p w14:paraId="45FE800F" w14:textId="77777777" w:rsidR="00AF49F5" w:rsidRDefault="00AF49F5" w:rsidP="00457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3837"/>
    <w:multiLevelType w:val="hybridMultilevel"/>
    <w:tmpl w:val="C172C090"/>
    <w:lvl w:ilvl="0" w:tplc="2BAA6774">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C6713C"/>
    <w:multiLevelType w:val="hybridMultilevel"/>
    <w:tmpl w:val="2FA89F64"/>
    <w:lvl w:ilvl="0" w:tplc="3FC27ACA">
      <w:numFmt w:val="bullet"/>
      <w:lvlText w:val="※"/>
      <w:lvlJc w:val="left"/>
      <w:pPr>
        <w:ind w:left="941" w:hanging="360"/>
      </w:pPr>
      <w:rPr>
        <w:rFonts w:ascii="游ゴシック" w:eastAsia="游ゴシック" w:hAnsi="游ゴシック" w:cstheme="minorBidi" w:hint="eastAsia"/>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2" w15:restartNumberingAfterBreak="0">
    <w:nsid w:val="23CC77FF"/>
    <w:multiLevelType w:val="hybridMultilevel"/>
    <w:tmpl w:val="D730FDD6"/>
    <w:lvl w:ilvl="0" w:tplc="71E49870">
      <w:numFmt w:val="bullet"/>
      <w:lvlText w:val="・"/>
      <w:lvlJc w:val="left"/>
      <w:pPr>
        <w:ind w:left="782" w:hanging="360"/>
      </w:pPr>
      <w:rPr>
        <w:rFonts w:ascii="游ゴシック" w:eastAsia="游ゴシック" w:hAnsi="游ゴシック"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67A3EF9"/>
    <w:multiLevelType w:val="hybridMultilevel"/>
    <w:tmpl w:val="12163D0E"/>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 w15:restartNumberingAfterBreak="0">
    <w:nsid w:val="272C7EFF"/>
    <w:multiLevelType w:val="hybridMultilevel"/>
    <w:tmpl w:val="7F2E76E4"/>
    <w:lvl w:ilvl="0" w:tplc="71E49870">
      <w:numFmt w:val="bullet"/>
      <w:lvlText w:val="・"/>
      <w:lvlJc w:val="left"/>
      <w:pPr>
        <w:ind w:left="1204" w:hanging="360"/>
      </w:pPr>
      <w:rPr>
        <w:rFonts w:ascii="游ゴシック" w:eastAsia="游ゴシック" w:hAnsi="游ゴシック"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 w15:restartNumberingAfterBreak="0">
    <w:nsid w:val="27C15A2C"/>
    <w:multiLevelType w:val="hybridMultilevel"/>
    <w:tmpl w:val="2FB476DA"/>
    <w:lvl w:ilvl="0" w:tplc="71E49870">
      <w:numFmt w:val="bullet"/>
      <w:lvlText w:val="・"/>
      <w:lvlJc w:val="left"/>
      <w:pPr>
        <w:ind w:left="983" w:hanging="360"/>
      </w:pPr>
      <w:rPr>
        <w:rFonts w:ascii="游ゴシック" w:eastAsia="游ゴシック" w:hAnsi="游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6" w15:restartNumberingAfterBreak="0">
    <w:nsid w:val="2AA40347"/>
    <w:multiLevelType w:val="hybridMultilevel"/>
    <w:tmpl w:val="E73A1EA4"/>
    <w:lvl w:ilvl="0" w:tplc="71E4987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BF13F2"/>
    <w:multiLevelType w:val="hybridMultilevel"/>
    <w:tmpl w:val="C2BC2EA2"/>
    <w:lvl w:ilvl="0" w:tplc="3B7454EE">
      <w:numFmt w:val="bullet"/>
      <w:lvlText w:val="☆"/>
      <w:lvlJc w:val="left"/>
      <w:pPr>
        <w:ind w:left="581" w:hanging="360"/>
      </w:pPr>
      <w:rPr>
        <w:rFonts w:ascii="游ゴシック" w:eastAsia="游ゴシック" w:hAnsi="游ゴシック"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8" w15:restartNumberingAfterBreak="0">
    <w:nsid w:val="384E3821"/>
    <w:multiLevelType w:val="hybridMultilevel"/>
    <w:tmpl w:val="052818B6"/>
    <w:lvl w:ilvl="0" w:tplc="2BAA6774">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EC4D2A"/>
    <w:multiLevelType w:val="hybridMultilevel"/>
    <w:tmpl w:val="2F3EA86E"/>
    <w:lvl w:ilvl="0" w:tplc="74F09030">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646C2A"/>
    <w:multiLevelType w:val="hybridMultilevel"/>
    <w:tmpl w:val="47F2929A"/>
    <w:lvl w:ilvl="0" w:tplc="AEF8CEA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FE25E2"/>
    <w:multiLevelType w:val="hybridMultilevel"/>
    <w:tmpl w:val="FDA42090"/>
    <w:lvl w:ilvl="0" w:tplc="71E49870">
      <w:numFmt w:val="bullet"/>
      <w:lvlText w:val="・"/>
      <w:lvlJc w:val="left"/>
      <w:pPr>
        <w:ind w:left="1204" w:hanging="360"/>
      </w:pPr>
      <w:rPr>
        <w:rFonts w:ascii="游ゴシック" w:eastAsia="游ゴシック" w:hAnsi="游ゴシック"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2" w15:restartNumberingAfterBreak="0">
    <w:nsid w:val="60F029EE"/>
    <w:multiLevelType w:val="hybridMultilevel"/>
    <w:tmpl w:val="BAB66922"/>
    <w:lvl w:ilvl="0" w:tplc="71E49870">
      <w:numFmt w:val="bullet"/>
      <w:lvlText w:val="・"/>
      <w:lvlJc w:val="left"/>
      <w:pPr>
        <w:ind w:left="782"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7"/>
  </w:num>
  <w:num w:numId="3">
    <w:abstractNumId w:val="1"/>
  </w:num>
  <w:num w:numId="4">
    <w:abstractNumId w:val="3"/>
  </w:num>
  <w:num w:numId="5">
    <w:abstractNumId w:val="2"/>
  </w:num>
  <w:num w:numId="6">
    <w:abstractNumId w:val="11"/>
  </w:num>
  <w:num w:numId="7">
    <w:abstractNumId w:val="12"/>
  </w:num>
  <w:num w:numId="8">
    <w:abstractNumId w:val="4"/>
  </w:num>
  <w:num w:numId="9">
    <w:abstractNumId w:val="5"/>
  </w:num>
  <w:num w:numId="10">
    <w:abstractNumId w:val="9"/>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5D"/>
    <w:rsid w:val="00053026"/>
    <w:rsid w:val="00065EA4"/>
    <w:rsid w:val="00095589"/>
    <w:rsid w:val="000D62C2"/>
    <w:rsid w:val="001155B5"/>
    <w:rsid w:val="001271CC"/>
    <w:rsid w:val="001666EA"/>
    <w:rsid w:val="001D3A6B"/>
    <w:rsid w:val="002760F3"/>
    <w:rsid w:val="00284703"/>
    <w:rsid w:val="002E72A5"/>
    <w:rsid w:val="002F5E9B"/>
    <w:rsid w:val="00303114"/>
    <w:rsid w:val="003038FC"/>
    <w:rsid w:val="003040CD"/>
    <w:rsid w:val="003468A7"/>
    <w:rsid w:val="00355D09"/>
    <w:rsid w:val="00364DC7"/>
    <w:rsid w:val="003D4866"/>
    <w:rsid w:val="003E246C"/>
    <w:rsid w:val="003E4815"/>
    <w:rsid w:val="0043639A"/>
    <w:rsid w:val="0044545D"/>
    <w:rsid w:val="004502EB"/>
    <w:rsid w:val="004503DC"/>
    <w:rsid w:val="0045724B"/>
    <w:rsid w:val="004847D7"/>
    <w:rsid w:val="004A6D47"/>
    <w:rsid w:val="004C7563"/>
    <w:rsid w:val="004F1B30"/>
    <w:rsid w:val="005369CB"/>
    <w:rsid w:val="0057257C"/>
    <w:rsid w:val="005F4D9E"/>
    <w:rsid w:val="005F6310"/>
    <w:rsid w:val="00607E8A"/>
    <w:rsid w:val="00610710"/>
    <w:rsid w:val="00611D51"/>
    <w:rsid w:val="00624D95"/>
    <w:rsid w:val="006546E1"/>
    <w:rsid w:val="0066298A"/>
    <w:rsid w:val="00664FB4"/>
    <w:rsid w:val="006A78E3"/>
    <w:rsid w:val="007013BF"/>
    <w:rsid w:val="00730FFB"/>
    <w:rsid w:val="00795DD0"/>
    <w:rsid w:val="008146DE"/>
    <w:rsid w:val="00825A76"/>
    <w:rsid w:val="00830F9A"/>
    <w:rsid w:val="00873023"/>
    <w:rsid w:val="00880AE5"/>
    <w:rsid w:val="0091303F"/>
    <w:rsid w:val="00944CCE"/>
    <w:rsid w:val="009560BE"/>
    <w:rsid w:val="009750EB"/>
    <w:rsid w:val="009930BC"/>
    <w:rsid w:val="009A6B73"/>
    <w:rsid w:val="009E657A"/>
    <w:rsid w:val="00A73B0D"/>
    <w:rsid w:val="00A925C6"/>
    <w:rsid w:val="00AF49F5"/>
    <w:rsid w:val="00B64DA1"/>
    <w:rsid w:val="00BB715A"/>
    <w:rsid w:val="00C26EF7"/>
    <w:rsid w:val="00C57D8D"/>
    <w:rsid w:val="00C71A92"/>
    <w:rsid w:val="00C83E18"/>
    <w:rsid w:val="00CA6019"/>
    <w:rsid w:val="00CC4580"/>
    <w:rsid w:val="00D05B23"/>
    <w:rsid w:val="00D46721"/>
    <w:rsid w:val="00DC4BDA"/>
    <w:rsid w:val="00DD1F5D"/>
    <w:rsid w:val="00DF4CD2"/>
    <w:rsid w:val="00DF7D78"/>
    <w:rsid w:val="00E04C7C"/>
    <w:rsid w:val="00E408E6"/>
    <w:rsid w:val="00E634C5"/>
    <w:rsid w:val="00E872BB"/>
    <w:rsid w:val="00ED5FF8"/>
    <w:rsid w:val="00F25C68"/>
    <w:rsid w:val="00F31195"/>
    <w:rsid w:val="00F56AFD"/>
    <w:rsid w:val="00F625B2"/>
    <w:rsid w:val="00FB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D82842"/>
  <w15:chartTrackingRefBased/>
  <w15:docId w15:val="{C45389AA-FAFB-40A0-B478-7FC1BD4F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45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24B"/>
    <w:pPr>
      <w:tabs>
        <w:tab w:val="center" w:pos="4252"/>
        <w:tab w:val="right" w:pos="8504"/>
      </w:tabs>
      <w:snapToGrid w:val="0"/>
    </w:pPr>
  </w:style>
  <w:style w:type="character" w:customStyle="1" w:styleId="a4">
    <w:name w:val="ヘッダー (文字)"/>
    <w:basedOn w:val="a0"/>
    <w:link w:val="a3"/>
    <w:uiPriority w:val="99"/>
    <w:rsid w:val="0045724B"/>
    <w:rPr>
      <w:rFonts w:ascii="ＭＳ 明朝" w:eastAsia="ＭＳ 明朝"/>
      <w:sz w:val="22"/>
    </w:rPr>
  </w:style>
  <w:style w:type="paragraph" w:styleId="a5">
    <w:name w:val="footer"/>
    <w:basedOn w:val="a"/>
    <w:link w:val="a6"/>
    <w:uiPriority w:val="99"/>
    <w:unhideWhenUsed/>
    <w:rsid w:val="0045724B"/>
    <w:pPr>
      <w:tabs>
        <w:tab w:val="center" w:pos="4252"/>
        <w:tab w:val="right" w:pos="8504"/>
      </w:tabs>
      <w:snapToGrid w:val="0"/>
    </w:pPr>
  </w:style>
  <w:style w:type="character" w:customStyle="1" w:styleId="a6">
    <w:name w:val="フッター (文字)"/>
    <w:basedOn w:val="a0"/>
    <w:link w:val="a5"/>
    <w:uiPriority w:val="99"/>
    <w:rsid w:val="0045724B"/>
    <w:rPr>
      <w:rFonts w:ascii="ＭＳ 明朝" w:eastAsia="ＭＳ 明朝"/>
      <w:sz w:val="22"/>
    </w:rPr>
  </w:style>
  <w:style w:type="paragraph" w:styleId="a7">
    <w:name w:val="List Paragraph"/>
    <w:basedOn w:val="a"/>
    <w:uiPriority w:val="34"/>
    <w:qFormat/>
    <w:rsid w:val="00624D95"/>
    <w:pPr>
      <w:ind w:leftChars="400" w:left="840"/>
    </w:pPr>
  </w:style>
  <w:style w:type="table" w:styleId="a8">
    <w:name w:val="Table Grid"/>
    <w:basedOn w:val="a1"/>
    <w:uiPriority w:val="39"/>
    <w:rsid w:val="0030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E65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57A"/>
    <w:rPr>
      <w:rFonts w:asciiTheme="majorHAnsi" w:eastAsiaTheme="majorEastAsia" w:hAnsiTheme="majorHAnsi" w:cstheme="majorBidi"/>
      <w:sz w:val="18"/>
      <w:szCs w:val="18"/>
    </w:rPr>
  </w:style>
  <w:style w:type="character" w:styleId="ab">
    <w:name w:val="Hyperlink"/>
    <w:basedOn w:val="a0"/>
    <w:uiPriority w:val="99"/>
    <w:unhideWhenUsed/>
    <w:rsid w:val="00607E8A"/>
    <w:rPr>
      <w:color w:val="0563C1" w:themeColor="hyperlink"/>
      <w:u w:val="single"/>
    </w:rPr>
  </w:style>
  <w:style w:type="character" w:customStyle="1" w:styleId="1">
    <w:name w:val="未解決のメンション1"/>
    <w:basedOn w:val="a0"/>
    <w:uiPriority w:val="99"/>
    <w:semiHidden/>
    <w:unhideWhenUsed/>
    <w:rsid w:val="00607E8A"/>
    <w:rPr>
      <w:color w:val="605E5C"/>
      <w:shd w:val="clear" w:color="auto" w:fill="E1DFDD"/>
    </w:rPr>
  </w:style>
  <w:style w:type="character" w:styleId="ac">
    <w:name w:val="Unresolved Mention"/>
    <w:basedOn w:val="a0"/>
    <w:uiPriority w:val="99"/>
    <w:semiHidden/>
    <w:unhideWhenUsed/>
    <w:rsid w:val="0057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ettings" Target="settings.xml" />
  <Relationship Id="rId7" Type="http://schemas.openxmlformats.org/officeDocument/2006/relationships/hyperlink" Target="https://www.pref.okinawa.jp/site/kodomo/fukushi/chiiki/minkatu.html" TargetMode="Externa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footer" Target="footer1.xml" />
  <Relationship Id="rId4" Type="http://schemas.openxmlformats.org/officeDocument/2006/relationships/webSettings" Target="webSettings.xml" />
  <Relationship Id="rId9" Type="http://schemas.openxmlformats.org/officeDocument/2006/relationships/hyperlink" Target="https://www.pref.okinawa.jp/site/kodomo/fukushi/chiiki/minkatu.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