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06B9" w14:textId="77777777" w:rsidR="00370CA0" w:rsidRPr="00CF083C" w:rsidRDefault="00370CA0" w:rsidP="00370CA0">
      <w:pPr>
        <w:pStyle w:val="a3"/>
        <w:ind w:left="8797"/>
        <w:rPr>
          <w:rFonts w:ascii="Century" w:eastAsia="ＭＳ ゴシック" w:hAnsi="Century"/>
          <w:sz w:val="20"/>
        </w:rPr>
      </w:pPr>
    </w:p>
    <w:p w14:paraId="6425D14E" w14:textId="77777777" w:rsidR="00370CA0" w:rsidRPr="00CF083C" w:rsidRDefault="00370CA0" w:rsidP="00370CA0">
      <w:pPr>
        <w:pStyle w:val="a3"/>
        <w:ind w:left="0"/>
        <w:rPr>
          <w:rFonts w:ascii="Century" w:eastAsia="ＭＳ ゴシック" w:hAnsi="Century"/>
          <w:sz w:val="20"/>
        </w:rPr>
      </w:pPr>
    </w:p>
    <w:p w14:paraId="19DB7EF8" w14:textId="77777777" w:rsidR="00370CA0" w:rsidRPr="00CF083C" w:rsidRDefault="00370CA0" w:rsidP="00370CA0">
      <w:pPr>
        <w:pStyle w:val="a3"/>
        <w:ind w:left="0"/>
        <w:rPr>
          <w:rFonts w:ascii="Century" w:eastAsia="ＭＳ ゴシック" w:hAnsi="Century"/>
          <w:sz w:val="20"/>
        </w:rPr>
      </w:pPr>
    </w:p>
    <w:p w14:paraId="14A2BD93" w14:textId="77777777" w:rsidR="00370CA0" w:rsidRPr="00CF083C" w:rsidRDefault="00370CA0" w:rsidP="00370CA0">
      <w:pPr>
        <w:pStyle w:val="a3"/>
        <w:ind w:left="0"/>
        <w:rPr>
          <w:rFonts w:ascii="Century" w:eastAsia="ＭＳ ゴシック" w:hAnsi="Century"/>
          <w:sz w:val="20"/>
        </w:rPr>
      </w:pPr>
    </w:p>
    <w:p w14:paraId="424F5CD6" w14:textId="77777777" w:rsidR="00370CA0" w:rsidRPr="00CF083C" w:rsidRDefault="00370CA0" w:rsidP="00370CA0">
      <w:pPr>
        <w:pStyle w:val="a3"/>
        <w:ind w:left="0"/>
        <w:rPr>
          <w:rFonts w:ascii="Century" w:eastAsia="ＭＳ ゴシック" w:hAnsi="Century"/>
          <w:sz w:val="20"/>
        </w:rPr>
      </w:pPr>
    </w:p>
    <w:p w14:paraId="79A94C90" w14:textId="77777777" w:rsidR="00370CA0" w:rsidRDefault="00370CA0" w:rsidP="00370CA0">
      <w:pPr>
        <w:pStyle w:val="a3"/>
        <w:ind w:left="0"/>
        <w:jc w:val="center"/>
        <w:rPr>
          <w:rFonts w:ascii="Century" w:eastAsia="ＭＳ ゴシック" w:hAnsi="Century" w:cstheme="minorHAnsi"/>
          <w:b/>
          <w:bCs/>
          <w:sz w:val="44"/>
          <w:szCs w:val="22"/>
          <w:u w:val="single"/>
          <w:lang w:val="pt-BR" w:eastAsia="ja-JP"/>
        </w:rPr>
      </w:pPr>
      <w:r>
        <w:rPr>
          <w:rFonts w:ascii="Century" w:eastAsia="ＭＳ ゴシック" w:hAnsi="Century" w:cstheme="minorHAnsi"/>
          <w:b/>
          <w:bCs/>
          <w:sz w:val="44"/>
          <w:szCs w:val="22"/>
          <w:u w:val="single"/>
          <w:lang w:val="pt-BR" w:eastAsia="ja-JP"/>
        </w:rPr>
        <w:t>Cuidados</w:t>
      </w:r>
      <w:r w:rsidRPr="00CF083C">
        <w:rPr>
          <w:rFonts w:ascii="Century" w:eastAsia="ＭＳ ゴシック" w:hAnsi="Century" w:cstheme="minorHAnsi"/>
          <w:b/>
          <w:bCs/>
          <w:sz w:val="44"/>
          <w:szCs w:val="22"/>
          <w:u w:val="single"/>
          <w:lang w:val="pt-BR" w:eastAsia="ja-JP"/>
        </w:rPr>
        <w:t xml:space="preserve"> a se</w:t>
      </w:r>
      <w:r>
        <w:rPr>
          <w:rFonts w:ascii="Century" w:eastAsia="ＭＳ ゴシック" w:hAnsi="Century" w:cstheme="minorHAnsi"/>
          <w:b/>
          <w:bCs/>
          <w:sz w:val="44"/>
          <w:szCs w:val="22"/>
          <w:u w:val="single"/>
          <w:lang w:val="pt-BR" w:eastAsia="ja-JP"/>
        </w:rPr>
        <w:t>rem</w:t>
      </w:r>
      <w:r w:rsidRPr="00CF083C">
        <w:rPr>
          <w:rFonts w:ascii="Century" w:eastAsia="ＭＳ ゴシック" w:hAnsi="Century" w:cstheme="minorHAnsi"/>
          <w:b/>
          <w:bCs/>
          <w:sz w:val="44"/>
          <w:szCs w:val="22"/>
          <w:u w:val="single"/>
          <w:lang w:val="pt-BR" w:eastAsia="ja-JP"/>
        </w:rPr>
        <w:t xml:space="preserve"> considera</w:t>
      </w:r>
      <w:r>
        <w:rPr>
          <w:rFonts w:ascii="Century" w:eastAsia="ＭＳ ゴシック" w:hAnsi="Century" w:cstheme="minorHAnsi"/>
          <w:b/>
          <w:bCs/>
          <w:sz w:val="44"/>
          <w:szCs w:val="22"/>
          <w:u w:val="single"/>
          <w:lang w:val="pt-BR" w:eastAsia="ja-JP"/>
        </w:rPr>
        <w:t>dos</w:t>
      </w:r>
      <w:r w:rsidRPr="00CF083C">
        <w:rPr>
          <w:rFonts w:ascii="Century" w:eastAsia="ＭＳ ゴシック" w:hAnsi="Century" w:cstheme="minorHAnsi"/>
          <w:b/>
          <w:bCs/>
          <w:sz w:val="44"/>
          <w:szCs w:val="22"/>
          <w:u w:val="single"/>
          <w:lang w:val="pt-BR" w:eastAsia="ja-JP"/>
        </w:rPr>
        <w:t xml:space="preserve"> </w:t>
      </w:r>
    </w:p>
    <w:p w14:paraId="6EEB33CF" w14:textId="77777777" w:rsidR="00370CA0" w:rsidRPr="00CF083C" w:rsidRDefault="00370CA0" w:rsidP="00370CA0">
      <w:pPr>
        <w:pStyle w:val="a3"/>
        <w:ind w:left="0"/>
        <w:jc w:val="center"/>
        <w:rPr>
          <w:rFonts w:ascii="Century" w:eastAsia="ＭＳ ゴシック" w:hAnsi="Century" w:cstheme="minorHAnsi"/>
          <w:b/>
          <w:bCs/>
          <w:sz w:val="44"/>
          <w:szCs w:val="22"/>
          <w:u w:val="single"/>
          <w:lang w:val="pt-BR" w:eastAsia="ja-JP"/>
        </w:rPr>
      </w:pPr>
      <w:r w:rsidRPr="00CF083C">
        <w:rPr>
          <w:rFonts w:ascii="Century" w:eastAsia="ＭＳ ゴシック" w:hAnsi="Century" w:cstheme="minorHAnsi"/>
          <w:b/>
          <w:bCs/>
          <w:sz w:val="44"/>
          <w:szCs w:val="22"/>
          <w:u w:val="single"/>
          <w:lang w:val="pt-BR" w:eastAsia="ja-JP"/>
        </w:rPr>
        <w:t>no momento da inscrição</w:t>
      </w:r>
    </w:p>
    <w:p w14:paraId="502F8402" w14:textId="77777777" w:rsidR="00370CA0" w:rsidRPr="00CF083C" w:rsidRDefault="00370CA0" w:rsidP="00370CA0">
      <w:pPr>
        <w:pStyle w:val="a3"/>
        <w:spacing w:before="4"/>
        <w:ind w:left="0"/>
        <w:rPr>
          <w:rFonts w:ascii="Century" w:eastAsia="ＭＳ ゴシック" w:hAnsi="Century"/>
          <w:sz w:val="25"/>
          <w:lang w:val="pt-BR"/>
        </w:rPr>
      </w:pPr>
    </w:p>
    <w:p w14:paraId="49E82BA6" w14:textId="77777777" w:rsidR="00370CA0" w:rsidRPr="00CF083C" w:rsidRDefault="00370CA0" w:rsidP="00370CA0">
      <w:pPr>
        <w:pStyle w:val="a3"/>
        <w:spacing w:before="1"/>
        <w:ind w:left="0"/>
        <w:rPr>
          <w:rFonts w:ascii="Century" w:eastAsia="ＭＳ ゴシック" w:hAnsi="Century"/>
          <w:sz w:val="22"/>
          <w:lang w:val="pt-BR" w:eastAsia="ja-JP"/>
        </w:rPr>
      </w:pPr>
    </w:p>
    <w:p w14:paraId="6ADF60DC" w14:textId="77777777" w:rsidR="00370CA0" w:rsidRPr="00CF083C" w:rsidRDefault="00370CA0" w:rsidP="00370CA0">
      <w:pPr>
        <w:pStyle w:val="1"/>
        <w:spacing w:before="69"/>
        <w:ind w:left="1963"/>
        <w:rPr>
          <w:rFonts w:ascii="Century" w:eastAsia="ＭＳ ゴシック" w:hAnsi="Century" w:cstheme="minorHAnsi"/>
          <w:w w:val="90"/>
          <w:lang w:val="pt-BR" w:eastAsia="ja-JP"/>
        </w:rPr>
      </w:pPr>
      <w:r w:rsidRPr="00CF083C">
        <w:rPr>
          <w:rFonts w:ascii="Century" w:eastAsia="ＭＳ ゴシック" w:hAnsi="Century" w:cstheme="minorHAnsi"/>
          <w:w w:val="90"/>
          <w:lang w:val="pt-BR" w:eastAsia="ja-JP"/>
        </w:rPr>
        <w:t xml:space="preserve">*Leia </w:t>
      </w:r>
      <w:r>
        <w:rPr>
          <w:rFonts w:ascii="Century" w:eastAsia="ＭＳ ゴシック" w:hAnsi="Century" w:cstheme="minorHAnsi"/>
          <w:w w:val="90"/>
          <w:lang w:val="pt-BR" w:eastAsia="ja-JP"/>
        </w:rPr>
        <w:t>com atenção</w:t>
      </w:r>
    </w:p>
    <w:p w14:paraId="1693C4CC" w14:textId="77777777" w:rsidR="00370CA0" w:rsidRPr="00CF083C" w:rsidRDefault="00370CA0" w:rsidP="00370CA0">
      <w:pPr>
        <w:pStyle w:val="1"/>
        <w:spacing w:before="69"/>
        <w:ind w:left="1963"/>
        <w:rPr>
          <w:rFonts w:ascii="Century" w:eastAsia="ＭＳ ゴシック" w:hAnsi="Century"/>
          <w:lang w:val="pt-BR" w:eastAsia="ja-JP"/>
        </w:rPr>
      </w:pPr>
    </w:p>
    <w:p w14:paraId="3DF176BD" w14:textId="77777777" w:rsidR="00370CA0" w:rsidRPr="00CF083C" w:rsidRDefault="00370CA0" w:rsidP="00370CA0">
      <w:pPr>
        <w:pStyle w:val="a3"/>
        <w:spacing w:before="5"/>
        <w:ind w:left="0"/>
        <w:rPr>
          <w:rFonts w:ascii="Century" w:eastAsia="ＭＳ ゴシック" w:hAnsi="Century"/>
          <w:sz w:val="23"/>
          <w:lang w:val="pt-BR" w:eastAsia="ja-JP"/>
        </w:rPr>
      </w:pPr>
    </w:p>
    <w:p w14:paraId="73650613" w14:textId="77777777" w:rsidR="00370CA0" w:rsidRPr="007E7E25" w:rsidRDefault="00370CA0" w:rsidP="00370CA0">
      <w:pPr>
        <w:spacing w:line="480" w:lineRule="auto"/>
        <w:ind w:leftChars="50" w:left="110" w:right="1670" w:firstLineChars="650" w:firstLine="1690"/>
        <w:jc w:val="both"/>
        <w:rPr>
          <w:rFonts w:ascii="Century" w:eastAsia="ＭＳ ゴシック" w:hAnsi="Century" w:cstheme="minorHAnsi"/>
          <w:sz w:val="26"/>
          <w:szCs w:val="26"/>
          <w:lang w:val="pt-BR" w:eastAsia="ja-JP"/>
        </w:rPr>
      </w:pP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１</w:t>
      </w: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 xml:space="preserve">. Contato com o responsável da Carta de Garantia </w:t>
      </w:r>
    </w:p>
    <w:p w14:paraId="05A709CE" w14:textId="77777777" w:rsidR="00370CA0" w:rsidRPr="007E7E25" w:rsidRDefault="00370CA0" w:rsidP="00370CA0">
      <w:pPr>
        <w:spacing w:line="480" w:lineRule="auto"/>
        <w:ind w:right="3798" w:firstLineChars="700" w:firstLine="1820"/>
        <w:jc w:val="both"/>
        <w:rPr>
          <w:rFonts w:ascii="Century" w:eastAsia="ＭＳ ゴシック" w:hAnsi="Century" w:cstheme="minorHAnsi"/>
          <w:sz w:val="26"/>
          <w:szCs w:val="26"/>
          <w:lang w:val="pt-BR" w:eastAsia="ja-JP"/>
        </w:rPr>
      </w:pP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２</w:t>
      </w: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. Dupla nacionalidade</w:t>
      </w:r>
    </w:p>
    <w:p w14:paraId="742FE3E6" w14:textId="77777777" w:rsidR="00370CA0" w:rsidRPr="007E7E25" w:rsidRDefault="00370CA0" w:rsidP="00370CA0">
      <w:pPr>
        <w:spacing w:before="5" w:line="480" w:lineRule="auto"/>
        <w:ind w:firstLineChars="700" w:firstLine="1820"/>
        <w:jc w:val="both"/>
        <w:rPr>
          <w:rFonts w:ascii="Century" w:eastAsia="ＭＳ ゴシック" w:hAnsi="Century" w:cstheme="minorHAnsi"/>
          <w:sz w:val="26"/>
          <w:szCs w:val="26"/>
          <w:lang w:val="pt-BR" w:eastAsia="ja-JP"/>
        </w:rPr>
      </w:pP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３</w:t>
      </w: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 xml:space="preserve">. Gastos </w:t>
      </w:r>
      <w:r>
        <w:rPr>
          <w:rFonts w:ascii="Century" w:eastAsia="ＭＳ ゴシック" w:hAnsi="Century" w:cstheme="minorHAnsi"/>
          <w:sz w:val="26"/>
          <w:szCs w:val="26"/>
          <w:lang w:val="pt-BR" w:eastAsia="ja-JP"/>
        </w:rPr>
        <w:t xml:space="preserve">do </w:t>
      </w: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cotidiano</w:t>
      </w:r>
    </w:p>
    <w:p w14:paraId="6C46D401" w14:textId="77777777" w:rsidR="00370CA0" w:rsidRPr="007E7E25" w:rsidRDefault="00370CA0" w:rsidP="00370CA0">
      <w:pPr>
        <w:spacing w:before="5" w:line="480" w:lineRule="auto"/>
        <w:ind w:firstLineChars="700" w:firstLine="1820"/>
        <w:jc w:val="both"/>
        <w:rPr>
          <w:rFonts w:ascii="Century" w:eastAsia="ＭＳ ゴシック" w:hAnsi="Century" w:cstheme="minorHAnsi"/>
          <w:sz w:val="26"/>
          <w:szCs w:val="26"/>
          <w:lang w:val="pt-BR" w:eastAsia="ja-JP"/>
        </w:rPr>
      </w:pP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４</w:t>
      </w: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. Requisitos para inscrição em universidades japonesas</w:t>
      </w:r>
    </w:p>
    <w:p w14:paraId="74402877" w14:textId="77777777" w:rsidR="00370CA0" w:rsidRPr="007E7E25" w:rsidRDefault="00370CA0" w:rsidP="00370CA0">
      <w:pPr>
        <w:spacing w:before="5" w:line="480" w:lineRule="auto"/>
        <w:ind w:firstLineChars="700" w:firstLine="1820"/>
        <w:jc w:val="both"/>
        <w:rPr>
          <w:rFonts w:ascii="Century" w:eastAsia="ＭＳ ゴシック" w:hAnsi="Century" w:cstheme="minorHAnsi"/>
          <w:sz w:val="26"/>
          <w:szCs w:val="26"/>
          <w:lang w:val="pt-BR" w:eastAsia="ja-JP"/>
        </w:rPr>
      </w:pP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５</w:t>
      </w: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. Documentos de inscrição em cada universidade</w:t>
      </w:r>
    </w:p>
    <w:p w14:paraId="5C5D520B" w14:textId="77777777" w:rsidR="00370CA0" w:rsidRPr="007E7E25" w:rsidRDefault="00370CA0" w:rsidP="00370CA0">
      <w:pPr>
        <w:spacing w:before="5" w:line="480" w:lineRule="auto"/>
        <w:ind w:firstLineChars="700" w:firstLine="1820"/>
        <w:jc w:val="both"/>
        <w:rPr>
          <w:rFonts w:ascii="Century" w:eastAsia="ＭＳ ゴシック" w:hAnsi="Century" w:cstheme="minorHAnsi"/>
          <w:sz w:val="26"/>
          <w:szCs w:val="26"/>
          <w:lang w:val="pt-BR" w:eastAsia="ja-JP"/>
        </w:rPr>
      </w:pP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６</w:t>
      </w: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. Trabalho</w:t>
      </w:r>
      <w:r>
        <w:rPr>
          <w:rFonts w:ascii="Century" w:eastAsia="ＭＳ ゴシック" w:hAnsi="Century" w:cstheme="minorHAnsi"/>
          <w:sz w:val="26"/>
          <w:szCs w:val="26"/>
          <w:lang w:val="pt-BR" w:eastAsia="ja-JP"/>
        </w:rPr>
        <w:t xml:space="preserve"> em tempo parcial</w:t>
      </w: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 xml:space="preserve"> para bolsistas</w:t>
      </w:r>
    </w:p>
    <w:p w14:paraId="032150BC" w14:textId="77777777" w:rsidR="00370CA0" w:rsidRPr="007E7E25" w:rsidRDefault="00370CA0" w:rsidP="00370CA0">
      <w:pPr>
        <w:spacing w:before="4" w:line="480" w:lineRule="auto"/>
        <w:ind w:right="3636" w:firstLineChars="700" w:firstLine="1820"/>
        <w:jc w:val="both"/>
        <w:rPr>
          <w:rFonts w:ascii="Century" w:eastAsia="ＭＳ ゴシック" w:hAnsi="Century" w:cstheme="minorHAnsi"/>
          <w:sz w:val="26"/>
          <w:szCs w:val="26"/>
          <w:lang w:val="pt-BR" w:eastAsia="ja-JP"/>
        </w:rPr>
      </w:pP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>７</w:t>
      </w: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 xml:space="preserve">. </w:t>
      </w:r>
      <w:r>
        <w:rPr>
          <w:rFonts w:ascii="Century" w:eastAsia="ＭＳ ゴシック" w:hAnsi="Century" w:cstheme="minorHAnsi"/>
          <w:sz w:val="26"/>
          <w:szCs w:val="26"/>
          <w:lang w:val="pt-BR" w:eastAsia="ja-JP"/>
        </w:rPr>
        <w:t>Resultado</w:t>
      </w:r>
      <w:r w:rsidRPr="007E7E25">
        <w:rPr>
          <w:rFonts w:ascii="Century" w:eastAsia="ＭＳ ゴシック" w:hAnsi="Century" w:cstheme="minorHAnsi"/>
          <w:sz w:val="26"/>
          <w:szCs w:val="26"/>
          <w:lang w:val="pt-BR" w:eastAsia="ja-JP"/>
        </w:rPr>
        <w:t xml:space="preserve"> final</w:t>
      </w:r>
    </w:p>
    <w:p w14:paraId="3022DC84" w14:textId="77777777" w:rsidR="00370CA0" w:rsidRPr="00CF083C" w:rsidRDefault="00370CA0" w:rsidP="00370CA0">
      <w:pPr>
        <w:spacing w:line="439" w:lineRule="auto"/>
        <w:rPr>
          <w:rFonts w:ascii="Century" w:eastAsia="ＭＳ ゴシック" w:hAnsi="Century"/>
          <w:sz w:val="28"/>
          <w:lang w:val="pt-BR" w:eastAsia="ja-JP"/>
        </w:rPr>
        <w:sectPr w:rsidR="00370CA0" w:rsidRPr="00CF083C" w:rsidSect="00370CA0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447291D7" w14:textId="77777777" w:rsidR="00370CA0" w:rsidRPr="00CF083C" w:rsidRDefault="00370CA0" w:rsidP="00370CA0">
      <w:pPr>
        <w:spacing w:before="56" w:line="276" w:lineRule="auto"/>
        <w:ind w:left="119"/>
        <w:jc w:val="both"/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</w:pPr>
      <w:r w:rsidRPr="00CF083C"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lastRenderedPageBreak/>
        <w:t xml:space="preserve">1. Contato com o </w:t>
      </w:r>
      <w:r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>responsável da Carta de Garantia</w:t>
      </w:r>
    </w:p>
    <w:p w14:paraId="7A51C66F" w14:textId="77777777" w:rsidR="00370CA0" w:rsidRPr="00CF083C" w:rsidRDefault="00370CA0" w:rsidP="00370CA0">
      <w:pPr>
        <w:spacing w:before="56" w:line="276" w:lineRule="auto"/>
        <w:ind w:left="119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Todos os anos, recebemos declarações de pessoas que foram contactadas para serem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responsáveis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, mas não conhecem bem o candidato. É fundamental que 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responsável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e o candidato tenham uma boa relação de confiança.</w:t>
      </w:r>
    </w:p>
    <w:p w14:paraId="2E368EA8" w14:textId="77777777" w:rsidR="00370CA0" w:rsidRPr="00CF083C" w:rsidRDefault="00370CA0" w:rsidP="00370CA0">
      <w:pPr>
        <w:spacing w:before="56" w:line="276" w:lineRule="auto"/>
        <w:ind w:left="119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b/>
          <w:bCs/>
          <w:sz w:val="21"/>
          <w:szCs w:val="21"/>
          <w:u w:val="single"/>
          <w:lang w:val="pt-BR" w:eastAsia="ja-JP"/>
        </w:rPr>
        <w:t xml:space="preserve">Solicitamos que o candidato entre em contato diretamente com o seu </w:t>
      </w:r>
      <w:r>
        <w:rPr>
          <w:rFonts w:ascii="Century" w:eastAsia="ＭＳ ゴシック" w:hAnsi="Century" w:cstheme="minorHAnsi"/>
          <w:b/>
          <w:bCs/>
          <w:sz w:val="21"/>
          <w:szCs w:val="21"/>
          <w:u w:val="single"/>
          <w:lang w:val="pt-BR" w:eastAsia="ja-JP"/>
        </w:rPr>
        <w:t>responsável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e lhe explique os seguintes pontos.</w:t>
      </w:r>
    </w:p>
    <w:p w14:paraId="7E0B8018" w14:textId="77777777" w:rsidR="00370CA0" w:rsidRPr="00CF083C" w:rsidRDefault="00370CA0" w:rsidP="00370CA0">
      <w:pPr>
        <w:pStyle w:val="a5"/>
        <w:numPr>
          <w:ilvl w:val="0"/>
          <w:numId w:val="1"/>
        </w:numPr>
        <w:spacing w:before="56"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A relação entre o candidato e 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responsável (parente, amigo, etc.)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</w:t>
      </w:r>
      <w:r>
        <w:rPr>
          <w:rFonts w:ascii="Century" w:eastAsia="ＭＳ ゴシック" w:hAnsi="Century" w:cstheme="minorHAnsi" w:hint="eastAsia"/>
          <w:sz w:val="21"/>
          <w:szCs w:val="21"/>
          <w:lang w:val="pt-BR" w:eastAsia="ja-JP"/>
        </w:rPr>
        <w:t>←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extrema importância</w:t>
      </w:r>
    </w:p>
    <w:p w14:paraId="1A3E1A59" w14:textId="77777777" w:rsidR="00370CA0" w:rsidRPr="00CF083C" w:rsidRDefault="00370CA0" w:rsidP="00370CA0">
      <w:pPr>
        <w:pStyle w:val="a5"/>
        <w:numPr>
          <w:ilvl w:val="0"/>
          <w:numId w:val="1"/>
        </w:numPr>
        <w:spacing w:before="56"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Detalhes d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a bolsa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: objetivo, duração e cursos (ver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requisitos de inscrição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)</w:t>
      </w:r>
    </w:p>
    <w:p w14:paraId="5B858519" w14:textId="77777777" w:rsidR="00370CA0" w:rsidRPr="00CF083C" w:rsidRDefault="00370CA0" w:rsidP="00370CA0">
      <w:pPr>
        <w:pStyle w:val="a5"/>
        <w:numPr>
          <w:ilvl w:val="0"/>
          <w:numId w:val="1"/>
        </w:numPr>
        <w:spacing w:before="56"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Ao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responsável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solicitamos o seguinte:</w:t>
      </w:r>
    </w:p>
    <w:p w14:paraId="2C4FF5D6" w14:textId="77777777" w:rsidR="00370CA0" w:rsidRPr="00CF083C" w:rsidRDefault="00370CA0" w:rsidP="00370CA0">
      <w:pPr>
        <w:pStyle w:val="a5"/>
        <w:numPr>
          <w:ilvl w:val="1"/>
          <w:numId w:val="1"/>
        </w:numPr>
        <w:spacing w:before="56"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Ser o contato de emergência em c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aso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d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o candidato sofr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er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acidente durante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a permanência.</w:t>
      </w:r>
    </w:p>
    <w:p w14:paraId="0C66FD74" w14:textId="77777777" w:rsidR="00370CA0" w:rsidRPr="00CF083C" w:rsidRDefault="00370CA0" w:rsidP="00370CA0">
      <w:pPr>
        <w:pStyle w:val="a5"/>
        <w:numPr>
          <w:ilvl w:val="1"/>
          <w:numId w:val="1"/>
        </w:numPr>
        <w:spacing w:before="56"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Retirar o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registro familiar (</w:t>
      </w:r>
      <w:r w:rsidRPr="00CF083C">
        <w:rPr>
          <w:rFonts w:ascii="Century" w:eastAsia="ＭＳ ゴシック" w:hAnsi="Century" w:cstheme="minorHAnsi"/>
          <w:i/>
          <w:iCs/>
          <w:sz w:val="21"/>
          <w:szCs w:val="21"/>
          <w:lang w:val="pt-BR" w:eastAsia="ja-JP"/>
        </w:rPr>
        <w:t>koseki shouhon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)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c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aso o candidato possua dupla nacionalidade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.</w:t>
      </w:r>
    </w:p>
    <w:p w14:paraId="6616000A" w14:textId="77777777" w:rsidR="00370CA0" w:rsidRPr="00CF083C" w:rsidRDefault="00370CA0" w:rsidP="00370CA0">
      <w:pPr>
        <w:spacing w:before="56"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A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província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será encarregada pela provisão da bolsa para o custo de vida, gastos com estudos etc., assim como suporte para o registro na prefeitura da cidade e os trâmites de registro e admissão na universidade.</w:t>
      </w:r>
    </w:p>
    <w:p w14:paraId="750C629C" w14:textId="77777777" w:rsidR="00370CA0" w:rsidRPr="00CF083C" w:rsidRDefault="00370CA0" w:rsidP="00370CA0">
      <w:pPr>
        <w:spacing w:before="56"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Caso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tenha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alguma dúvida com relação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ao programa da bolsa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, entrar em contato com a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província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.</w:t>
      </w:r>
    </w:p>
    <w:p w14:paraId="772FF8D9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/>
          <w:sz w:val="21"/>
          <w:szCs w:val="21"/>
          <w:lang w:val="pt-BR" w:eastAsia="ja-JP"/>
        </w:rPr>
      </w:pPr>
    </w:p>
    <w:p w14:paraId="066A988B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</w:pPr>
      <w:r w:rsidRPr="00CF083C"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>2. Dupla nacionalidade</w:t>
      </w:r>
    </w:p>
    <w:p w14:paraId="426ABBC7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Será a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ceit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o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somente os candidatos cujo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o endereço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do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</w:t>
      </w:r>
      <w:r w:rsidRPr="00CF083C">
        <w:rPr>
          <w:rFonts w:ascii="Century" w:eastAsia="ＭＳ ゴシック" w:hAnsi="Century" w:cstheme="minorHAnsi"/>
          <w:i/>
          <w:iCs/>
          <w:sz w:val="21"/>
          <w:szCs w:val="21"/>
          <w:lang w:val="pt-BR" w:eastAsia="ja-JP"/>
        </w:rPr>
        <w:t>koseki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esteja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clar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o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. Caso não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tenha conhecimento do endereço principal do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</w:t>
      </w:r>
      <w:r w:rsidRPr="00CF083C">
        <w:rPr>
          <w:rFonts w:ascii="Century" w:eastAsia="ＭＳ ゴシック" w:hAnsi="Century" w:cstheme="minorHAnsi"/>
          <w:i/>
          <w:iCs/>
          <w:sz w:val="21"/>
          <w:szCs w:val="21"/>
          <w:lang w:val="pt-BR" w:eastAsia="ja-JP"/>
        </w:rPr>
        <w:t>koseki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,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como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não será possível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fazer o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Registro de Residente (</w:t>
      </w:r>
      <w:r w:rsidRPr="00CF083C">
        <w:rPr>
          <w:rFonts w:ascii="Century" w:eastAsia="ＭＳ ゴシック" w:hAnsi="Century" w:cstheme="minorHAnsi"/>
          <w:i/>
          <w:iCs/>
          <w:sz w:val="21"/>
          <w:szCs w:val="21"/>
          <w:lang w:val="pt-BR" w:eastAsia="ja-JP"/>
        </w:rPr>
        <w:t>jumin touroku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)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,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o candidato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não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ser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á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aceito no programa.</w:t>
      </w:r>
    </w:p>
    <w:p w14:paraId="13B28C60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Para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as pessoas de dupla nacionalidade poderem fazer o registro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, são necessários 4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documentos:</w:t>
      </w:r>
    </w:p>
    <w:p w14:paraId="43BFF280" w14:textId="77777777" w:rsidR="00370CA0" w:rsidRPr="00CF083C" w:rsidRDefault="00370CA0" w:rsidP="00370CA0">
      <w:pPr>
        <w:pStyle w:val="a5"/>
        <w:numPr>
          <w:ilvl w:val="0"/>
          <w:numId w:val="2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Documento que mostre a data de entrada no Japão</w:t>
      </w:r>
    </w:p>
    <w:p w14:paraId="35C6F81C" w14:textId="77777777" w:rsidR="00370CA0" w:rsidRPr="00CF083C" w:rsidRDefault="00370CA0" w:rsidP="00370CA0">
      <w:pPr>
        <w:pStyle w:val="a5"/>
        <w:numPr>
          <w:ilvl w:val="0"/>
          <w:numId w:val="2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Passaporte japonês</w:t>
      </w:r>
    </w:p>
    <w:p w14:paraId="2D291B52" w14:textId="77777777" w:rsidR="00370CA0" w:rsidRPr="00CF083C" w:rsidRDefault="00370CA0" w:rsidP="00370CA0">
      <w:pPr>
        <w:pStyle w:val="a5"/>
        <w:numPr>
          <w:ilvl w:val="0"/>
          <w:numId w:val="2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Registro familiar (</w:t>
      </w:r>
      <w:r w:rsidRPr="00CF083C">
        <w:rPr>
          <w:rFonts w:ascii="Century" w:eastAsia="ＭＳ ゴシック" w:hAnsi="Century" w:cstheme="minorHAnsi"/>
          <w:i/>
          <w:iCs/>
          <w:sz w:val="21"/>
          <w:szCs w:val="21"/>
          <w:lang w:val="pt-BR" w:eastAsia="ja-JP"/>
        </w:rPr>
        <w:t>koseki shouhon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)</w:t>
      </w:r>
    </w:p>
    <w:p w14:paraId="1D09E7C4" w14:textId="77777777" w:rsidR="00370CA0" w:rsidRPr="00CF083C" w:rsidRDefault="00370CA0" w:rsidP="00370CA0">
      <w:pPr>
        <w:pStyle w:val="a5"/>
        <w:numPr>
          <w:ilvl w:val="0"/>
          <w:numId w:val="2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Registro familiar complementar (</w:t>
      </w:r>
      <w:r w:rsidRPr="00CF083C">
        <w:rPr>
          <w:rFonts w:ascii="Century" w:eastAsia="ＭＳ ゴシック" w:hAnsi="Century" w:cstheme="minorHAnsi"/>
          <w:i/>
          <w:iCs/>
          <w:sz w:val="21"/>
          <w:szCs w:val="21"/>
          <w:lang w:val="pt-BR" w:eastAsia="ja-JP"/>
        </w:rPr>
        <w:t>koseki fuhyou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)</w:t>
      </w:r>
    </w:p>
    <w:p w14:paraId="200D0EEA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Ao chegar a Okinawa, o candidato deverá completar todos os trâmites dentro de 2 semanas. Portanto, é necessário requerer o </w:t>
      </w:r>
      <w:r w:rsidRPr="00CF083C">
        <w:rPr>
          <w:rFonts w:ascii="Century" w:eastAsia="ＭＳ ゴシック" w:hAnsi="Century" w:cstheme="minorHAnsi"/>
          <w:i/>
          <w:iCs/>
          <w:sz w:val="21"/>
          <w:szCs w:val="21"/>
          <w:lang w:val="pt-BR" w:eastAsia="ja-JP"/>
        </w:rPr>
        <w:t>koseki shouhon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e o </w:t>
      </w:r>
      <w:r w:rsidRPr="00CF083C">
        <w:rPr>
          <w:rFonts w:ascii="Century" w:eastAsia="ＭＳ ゴシック" w:hAnsi="Century" w:cstheme="minorHAnsi"/>
          <w:i/>
          <w:iCs/>
          <w:sz w:val="21"/>
          <w:szCs w:val="21"/>
          <w:lang w:val="pt-BR" w:eastAsia="ja-JP"/>
        </w:rPr>
        <w:t>koseki fuhyou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com antecedência.</w:t>
      </w:r>
    </w:p>
    <w:p w14:paraId="3001F024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S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olicitamos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preparar a Procuração (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formulário n°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13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)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e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o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envi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o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ao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responsável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.</w:t>
      </w:r>
    </w:p>
    <w:p w14:paraId="55665358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</w:p>
    <w:p w14:paraId="51982EA2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</w:pPr>
      <w:r w:rsidRPr="00CF083C"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 xml:space="preserve">3. </w:t>
      </w:r>
      <w:r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>Gastos do cotidiano</w:t>
      </w:r>
    </w:p>
    <w:p w14:paraId="5641EA9F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Para cobrir o custo de vida, serão pagos a cada bolsista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o valor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de 70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.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000 ienes. Este valor mensal destina-se a cobrir custos com serviços básicos (luz, água e gás), alimentação, gastos com comunicação, transporte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,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etc.</w:t>
      </w:r>
    </w:p>
    <w:p w14:paraId="39D2B393" w14:textId="77777777" w:rsidR="00370CA0" w:rsidRDefault="00370CA0" w:rsidP="00370CA0">
      <w:pPr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</w:p>
    <w:p w14:paraId="633FD1C3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</w:pPr>
      <w:r w:rsidRPr="00CF083C"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>4. Requisitos para inscrição em universidades japonesas</w:t>
      </w:r>
    </w:p>
    <w:p w14:paraId="225F0AFF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Para ingressar em universidades japonesas, conforme o estabelecido nos Requisitos de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lastRenderedPageBreak/>
        <w:t xml:space="preserve">Admissão em Universidades do Ministério da Educação, Cultura, Desporto, Ciência e Tecnologia do Japão (MEXT),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é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exig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ido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um período de educação básica de 12 anos. No entanto, em alguns países a educação básica dura menos que esse período. Para esses casos, consideram-se qualificadas as pessoas que cumpram os seguintes requisitos:</w:t>
      </w:r>
    </w:p>
    <w:p w14:paraId="3335945B" w14:textId="77777777" w:rsidR="00370CA0" w:rsidRPr="00CF083C" w:rsidRDefault="00370CA0" w:rsidP="00370CA0">
      <w:pPr>
        <w:pStyle w:val="a5"/>
        <w:numPr>
          <w:ilvl w:val="0"/>
          <w:numId w:val="3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Ter o e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nsino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m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édio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completo totalizando o estudo de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11 anos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e ter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mais de 1 ano na universidade</w:t>
      </w:r>
    </w:p>
    <w:p w14:paraId="298937FC" w14:textId="77777777" w:rsidR="00370CA0" w:rsidRPr="00CF083C" w:rsidRDefault="00370CA0" w:rsidP="00370CA0">
      <w:pPr>
        <w:pStyle w:val="a5"/>
        <w:numPr>
          <w:ilvl w:val="0"/>
          <w:numId w:val="3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Ter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estudado mais de 11 anos de educação básica e cumprir com os critérios estabelecidos pelo Ministro da Educação</w:t>
      </w:r>
    </w:p>
    <w:p w14:paraId="1035789F" w14:textId="77777777" w:rsidR="00370CA0" w:rsidRPr="00CF083C" w:rsidRDefault="00370CA0" w:rsidP="00370CA0">
      <w:pPr>
        <w:pStyle w:val="a5"/>
        <w:numPr>
          <w:ilvl w:val="0"/>
          <w:numId w:val="3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Contar com algum desses diplomas: GCEA, IB (</w:t>
      </w:r>
      <w:r w:rsidRPr="00CF083C">
        <w:rPr>
          <w:rFonts w:ascii="Century" w:eastAsia="ＭＳ ゴシック" w:hAnsi="Century" w:cstheme="minorHAnsi"/>
          <w:i/>
          <w:iCs/>
          <w:sz w:val="21"/>
          <w:szCs w:val="21"/>
          <w:lang w:val="pt-BR" w:eastAsia="ja-JP"/>
        </w:rPr>
        <w:t>International Baccalaureate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), WASC ou CIS que o governo japonês aceita como certificado de finalização dos estudos escolares.</w:t>
      </w:r>
    </w:p>
    <w:p w14:paraId="6E611678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Caso o candidato tenha alguma dúvida sobre o cumprimento dos requisitos, consultar a repartição consular do Japão mais próxima. Ademais, tenha em mente que as regras atuais podem sofrer nova atualização no futuro.</w:t>
      </w:r>
    </w:p>
    <w:p w14:paraId="1DA7E7F7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</w:p>
    <w:p w14:paraId="4D7AB7A3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</w:pPr>
      <w:r w:rsidRPr="00CF083C"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>5. Documentos de inscrição em cada universidade</w:t>
      </w:r>
    </w:p>
    <w:p w14:paraId="77E3B7EF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Caso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o candidato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tenha sido aceito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como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aluno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ouvinte em uma universidade da província,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será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necessário apresentar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os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documentos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solicitados pela universidade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.</w:t>
      </w:r>
    </w:p>
    <w:p w14:paraId="76145637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</w:p>
    <w:p w14:paraId="053C68B5" w14:textId="77777777" w:rsidR="00370CA0" w:rsidRPr="009C767B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u w:val="single"/>
          <w:lang w:val="pt-BR" w:eastAsia="ja-JP"/>
        </w:rPr>
      </w:pPr>
      <w:r w:rsidRPr="009C767B">
        <w:rPr>
          <w:rFonts w:ascii="Century" w:eastAsia="ＭＳ ゴシック" w:hAnsi="Century" w:cstheme="minorHAnsi"/>
          <w:sz w:val="21"/>
          <w:szCs w:val="21"/>
          <w:u w:val="single"/>
          <w:lang w:val="pt-BR" w:eastAsia="ja-JP"/>
        </w:rPr>
        <w:t>Nível de proficiência em língua japonesa</w:t>
      </w:r>
    </w:p>
    <w:p w14:paraId="79898A71" w14:textId="77777777" w:rsidR="00370CA0" w:rsidRPr="00CF083C" w:rsidRDefault="00370CA0" w:rsidP="00370CA0">
      <w:pPr>
        <w:pStyle w:val="a5"/>
        <w:numPr>
          <w:ilvl w:val="0"/>
          <w:numId w:val="4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Caso o candidato tenha um certificado de exame de proficiência em língua japonesa (JPLT ou BLT), deverão entregar uma cópia do certificado. Se possuir outros certificados como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Exame para bolsa de estudo japonês (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EJU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)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, entregar também uma cópia.</w:t>
      </w:r>
    </w:p>
    <w:p w14:paraId="2C911513" w14:textId="77777777" w:rsidR="00370CA0" w:rsidRPr="00CF083C" w:rsidRDefault="00370CA0" w:rsidP="00370CA0">
      <w:pPr>
        <w:pStyle w:val="a5"/>
        <w:numPr>
          <w:ilvl w:val="0"/>
          <w:numId w:val="4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Os candidatos que não possuírem certificado de exame de proficiência deverão apresentar um documento que certifique seu nível de japonês. (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“F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ormulário de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avaliação da compreensão da língua japonesa”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ou a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formulário de avaliação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da universidade)</w:t>
      </w:r>
    </w:p>
    <w:p w14:paraId="54E255D7" w14:textId="77777777" w:rsidR="00370CA0" w:rsidRPr="00CF083C" w:rsidRDefault="00370CA0" w:rsidP="00370CA0">
      <w:pPr>
        <w:tabs>
          <w:tab w:val="left" w:pos="1254"/>
        </w:tabs>
        <w:spacing w:line="276" w:lineRule="auto"/>
        <w:ind w:leftChars="150" w:left="435" w:hangingChars="50" w:hanging="105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*A Universidade de Ryukyu exige o nível N2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ou superior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do Exame de Proficiência em Língua Japonesa.</w:t>
      </w:r>
    </w:p>
    <w:p w14:paraId="0A03EE14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</w:p>
    <w:p w14:paraId="53D127FE" w14:textId="77777777" w:rsidR="00370CA0" w:rsidRPr="009C767B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u w:val="single"/>
          <w:lang w:val="pt-BR" w:eastAsia="ja-JP"/>
        </w:rPr>
      </w:pPr>
      <w:r w:rsidRPr="009C767B">
        <w:rPr>
          <w:rFonts w:ascii="Century" w:eastAsia="ＭＳ ゴシック" w:hAnsi="Century" w:cstheme="minorHAnsi"/>
          <w:sz w:val="21"/>
          <w:szCs w:val="21"/>
          <w:u w:val="single"/>
          <w:lang w:val="pt-BR" w:eastAsia="ja-JP"/>
        </w:rPr>
        <w:t xml:space="preserve">Certificados das escolas </w:t>
      </w:r>
      <w:r>
        <w:rPr>
          <w:rFonts w:ascii="Century" w:eastAsia="ＭＳ ゴシック" w:hAnsi="Century" w:cstheme="minorHAnsi"/>
          <w:sz w:val="21"/>
          <w:szCs w:val="21"/>
          <w:u w:val="single"/>
          <w:lang w:val="pt-BR" w:eastAsia="ja-JP"/>
        </w:rPr>
        <w:t>d</w:t>
      </w:r>
      <w:r w:rsidRPr="009C767B">
        <w:rPr>
          <w:rFonts w:ascii="Century" w:eastAsia="ＭＳ ゴシック" w:hAnsi="Century" w:cstheme="minorHAnsi"/>
          <w:sz w:val="21"/>
          <w:szCs w:val="21"/>
          <w:u w:val="single"/>
          <w:lang w:val="pt-BR" w:eastAsia="ja-JP"/>
        </w:rPr>
        <w:t>o país de origem</w:t>
      </w:r>
    </w:p>
    <w:p w14:paraId="19F813FE" w14:textId="77777777" w:rsidR="00370CA0" w:rsidRPr="00CF083C" w:rsidRDefault="00370CA0" w:rsidP="00370CA0">
      <w:pPr>
        <w:pStyle w:val="a5"/>
        <w:numPr>
          <w:ilvl w:val="0"/>
          <w:numId w:val="4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Certificado de graduação da última escola cursada e sua respectiva tradução em japonês</w:t>
      </w:r>
    </w:p>
    <w:p w14:paraId="5D23AD25" w14:textId="77777777" w:rsidR="00370CA0" w:rsidRPr="00CF083C" w:rsidRDefault="00370CA0" w:rsidP="00370CA0">
      <w:pPr>
        <w:pStyle w:val="a5"/>
        <w:numPr>
          <w:ilvl w:val="0"/>
          <w:numId w:val="4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Histórico escolar da última escola cursada e sua respectiva tradução em japonês</w:t>
      </w:r>
    </w:p>
    <w:p w14:paraId="3CB65549" w14:textId="77777777" w:rsidR="00370CA0" w:rsidRPr="00CF083C" w:rsidRDefault="00370CA0" w:rsidP="00370CA0">
      <w:pPr>
        <w:pStyle w:val="a5"/>
        <w:numPr>
          <w:ilvl w:val="0"/>
          <w:numId w:val="4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Certificado de matrícula da instituição de ensino atual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e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sua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respectiva tradução em japonês (somente para candidatos que estejam matriculados em uma instituição no momento da inscrição)</w:t>
      </w:r>
    </w:p>
    <w:p w14:paraId="39F29A20" w14:textId="77777777" w:rsidR="00370CA0" w:rsidRPr="00CF083C" w:rsidRDefault="00370CA0" w:rsidP="00370CA0">
      <w:pPr>
        <w:pStyle w:val="a5"/>
        <w:numPr>
          <w:ilvl w:val="0"/>
          <w:numId w:val="4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Histórico escolar da instituição de ensino atual e sua respectiva tradução em japonês (somente para candidatos que estejam matriculados em uma instituição no momento da inscrição)</w:t>
      </w:r>
    </w:p>
    <w:p w14:paraId="2B0F97D7" w14:textId="77777777" w:rsidR="00370CA0" w:rsidRDefault="00370CA0" w:rsidP="00370CA0">
      <w:pPr>
        <w:pStyle w:val="a5"/>
        <w:numPr>
          <w:ilvl w:val="0"/>
          <w:numId w:val="4"/>
        </w:num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Os documentos </w:t>
      </w:r>
      <w:r w:rsidRPr="00CF083C">
        <w:rPr>
          <w:rFonts w:ascii="ＭＳ 明朝" w:eastAsia="ＭＳ 明朝" w:hAnsi="ＭＳ 明朝" w:cs="ＭＳ 明朝" w:hint="eastAsia"/>
          <w:sz w:val="21"/>
          <w:szCs w:val="21"/>
          <w:lang w:val="pt-BR" w:eastAsia="ja-JP"/>
        </w:rPr>
        <w:t>③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a </w:t>
      </w:r>
      <w:r w:rsidRPr="00CF083C">
        <w:rPr>
          <w:rFonts w:ascii="ＭＳ 明朝" w:eastAsia="ＭＳ 明朝" w:hAnsi="ＭＳ 明朝" w:cs="ＭＳ 明朝" w:hint="eastAsia"/>
          <w:sz w:val="21"/>
          <w:szCs w:val="21"/>
          <w:lang w:val="pt-BR" w:eastAsia="ja-JP"/>
        </w:rPr>
        <w:t>⑥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deverão ser emitidos por repartição oficial (em caso de cópia, deverão ser autenticados)</w:t>
      </w:r>
    </w:p>
    <w:p w14:paraId="1040E142" w14:textId="77777777" w:rsidR="00370CA0" w:rsidRPr="00CC5672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color w:val="FF0000"/>
          <w:sz w:val="21"/>
          <w:szCs w:val="21"/>
          <w:lang w:val="pt-BR" w:eastAsia="ja-JP"/>
        </w:rPr>
      </w:pPr>
    </w:p>
    <w:p w14:paraId="240E65C3" w14:textId="77777777" w:rsidR="00370CA0" w:rsidRPr="009C767B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u w:val="single"/>
          <w:lang w:val="pt-BR" w:eastAsia="ja-JP"/>
        </w:rPr>
      </w:pPr>
      <w:r w:rsidRPr="009C767B">
        <w:rPr>
          <w:rFonts w:ascii="Century" w:eastAsia="ＭＳ ゴシック" w:hAnsi="Century" w:cstheme="minorHAnsi"/>
          <w:sz w:val="21"/>
          <w:szCs w:val="21"/>
          <w:u w:val="single"/>
          <w:lang w:val="pt-BR" w:eastAsia="ja-JP"/>
        </w:rPr>
        <w:t>Outras observações</w:t>
      </w:r>
    </w:p>
    <w:p w14:paraId="5762B9F0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lastRenderedPageBreak/>
        <w:t>Para ingressar na Universidade de Belas Artes da Província de Okinawa, o candidato deverá apresentar um portfólio de obras (Faculdade de Artes e Artesanato) ou uma gravação em DVD/CD de dança tradicional ou interpretação de peça musical (Faculdade de Música).</w:t>
      </w:r>
    </w:p>
    <w:p w14:paraId="01840CB3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</w:p>
    <w:p w14:paraId="41E7E0B4" w14:textId="5BFA04F7" w:rsidR="00370CA0" w:rsidRPr="00267B72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267B72">
        <w:rPr>
          <w:rFonts w:ascii="Century" w:eastAsia="ＭＳ ゴシック" w:hAnsi="Century" w:cstheme="minorHAnsi"/>
          <w:sz w:val="21"/>
          <w:szCs w:val="21"/>
          <w:lang w:val="pt-BR" w:eastAsia="ja-JP"/>
        </w:rPr>
        <w:t>O prazo de entrega dos documentos é até dia 27 de março de 202</w:t>
      </w:r>
      <w:r w:rsidR="002A28EC">
        <w:rPr>
          <w:rFonts w:ascii="Century" w:eastAsia="ＭＳ ゴシック" w:hAnsi="Century" w:cstheme="minorHAnsi" w:hint="eastAsia"/>
          <w:sz w:val="21"/>
          <w:szCs w:val="21"/>
          <w:lang w:val="pt-BR" w:eastAsia="ja-JP"/>
        </w:rPr>
        <w:t>4</w:t>
      </w:r>
      <w:r w:rsidRPr="00267B72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. Prepare os “certificados solicitados”, as “traduções em japonês” e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em caso necessário, </w:t>
      </w:r>
      <w:r w:rsidRPr="00267B72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a certificação por repartição pública. Envie inicialmente em PDF via e-mail e após verificação solicitaremos o envio via correio.  </w:t>
      </w:r>
    </w:p>
    <w:p w14:paraId="77A443A3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*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Poderá ocorrer mudanças no momento de entrega à universidade, pedimos compreensão.</w:t>
      </w:r>
    </w:p>
    <w:p w14:paraId="73C3BF3F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</w:p>
    <w:p w14:paraId="378CB79E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</w:pPr>
      <w:r w:rsidRPr="00CF083C"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 xml:space="preserve">6. Trabalhos </w:t>
      </w:r>
      <w:r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 xml:space="preserve">em tempo parcial </w:t>
      </w:r>
    </w:p>
    <w:p w14:paraId="2C6CF93F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Está terminantemente proibido exercer trabalho de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>tempo parcial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com fins financeiros.</w:t>
      </w:r>
    </w:p>
    <w:p w14:paraId="6BA2BF59" w14:textId="77777777" w:rsidR="00370CA0" w:rsidRPr="00CF083C" w:rsidRDefault="00370CA0" w:rsidP="00370CA0">
      <w:pPr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</w:p>
    <w:p w14:paraId="5D93B4E3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</w:pPr>
      <w:r w:rsidRPr="00CF083C"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 xml:space="preserve">7. </w:t>
      </w:r>
      <w:r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>Resultado</w:t>
      </w:r>
      <w:r w:rsidRPr="00CF083C">
        <w:rPr>
          <w:rFonts w:ascii="Century" w:eastAsia="ＭＳ ゴシック" w:hAnsi="Century" w:cstheme="minorHAnsi"/>
          <w:b/>
          <w:bCs/>
          <w:sz w:val="24"/>
          <w:szCs w:val="24"/>
          <w:u w:val="single"/>
          <w:lang w:val="pt-BR" w:eastAsia="ja-JP"/>
        </w:rPr>
        <w:t xml:space="preserve"> final</w:t>
      </w:r>
    </w:p>
    <w:p w14:paraId="068F568A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O cronograma desde a inscrição até o envio da Notificação de Decisão de Admissão (na qual também inclui documentos necessário para o processo de obtenção </w:t>
      </w:r>
      <w:r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do 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>visto no país de origem) é o seguinte:</w:t>
      </w:r>
    </w:p>
    <w:p w14:paraId="43F79917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3756"/>
      </w:tblGrid>
      <w:tr w:rsidR="00370CA0" w:rsidRPr="00EE581A" w14:paraId="5D59F801" w14:textId="77777777" w:rsidTr="00067F3C">
        <w:tc>
          <w:tcPr>
            <w:tcW w:w="5529" w:type="dxa"/>
          </w:tcPr>
          <w:p w14:paraId="0CB8E099" w14:textId="77777777" w:rsidR="00370CA0" w:rsidRPr="00CF083C" w:rsidRDefault="00370CA0" w:rsidP="00370CA0">
            <w:pPr>
              <w:pStyle w:val="a5"/>
              <w:numPr>
                <w:ilvl w:val="0"/>
                <w:numId w:val="5"/>
              </w:num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Apresentação dos documentos de inscrição </w:t>
            </w:r>
          </w:p>
        </w:tc>
        <w:tc>
          <w:tcPr>
            <w:tcW w:w="4451" w:type="dxa"/>
            <w:vAlign w:val="center"/>
          </w:tcPr>
          <w:p w14:paraId="2B8D0DDF" w14:textId="24DCC7B9" w:rsidR="00370CA0" w:rsidRPr="00CF083C" w:rsidRDefault="00370CA0" w:rsidP="00067F3C">
            <w:p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Até o dia </w:t>
            </w: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27</w:t>
            </w: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 de </w:t>
            </w: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março de 202</w:t>
            </w:r>
            <w:r w:rsidR="002A28EC">
              <w:rPr>
                <w:rFonts w:ascii="Century" w:eastAsia="ＭＳ ゴシック" w:hAnsi="Century" w:cstheme="minorHAnsi" w:hint="eastAsia"/>
                <w:sz w:val="21"/>
                <w:szCs w:val="21"/>
                <w:lang w:val="pt-BR" w:eastAsia="ja-JP"/>
              </w:rPr>
              <w:t>4</w:t>
            </w:r>
          </w:p>
        </w:tc>
      </w:tr>
      <w:tr w:rsidR="00370CA0" w:rsidRPr="00CF083C" w14:paraId="68AF110A" w14:textId="77777777" w:rsidTr="00067F3C">
        <w:tc>
          <w:tcPr>
            <w:tcW w:w="5529" w:type="dxa"/>
          </w:tcPr>
          <w:p w14:paraId="5F8C2FF4" w14:textId="77777777" w:rsidR="00370CA0" w:rsidRPr="00CF083C" w:rsidRDefault="00370CA0" w:rsidP="00370CA0">
            <w:pPr>
              <w:pStyle w:val="a5"/>
              <w:numPr>
                <w:ilvl w:val="0"/>
                <w:numId w:val="5"/>
              </w:num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Avaliação </w:t>
            </w: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e seleção </w:t>
            </w: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dos documentos </w:t>
            </w:r>
          </w:p>
        </w:tc>
        <w:tc>
          <w:tcPr>
            <w:tcW w:w="4451" w:type="dxa"/>
            <w:vAlign w:val="center"/>
          </w:tcPr>
          <w:p w14:paraId="20188B92" w14:textId="77777777" w:rsidR="00370CA0" w:rsidRPr="00CF083C" w:rsidRDefault="00370CA0" w:rsidP="00067F3C">
            <w:p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Meados</w:t>
            </w: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 de </w:t>
            </w: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abril</w:t>
            </w:r>
          </w:p>
        </w:tc>
      </w:tr>
      <w:tr w:rsidR="00370CA0" w:rsidRPr="00CF083C" w14:paraId="01CD667E" w14:textId="77777777" w:rsidTr="00067F3C">
        <w:tc>
          <w:tcPr>
            <w:tcW w:w="5529" w:type="dxa"/>
          </w:tcPr>
          <w:p w14:paraId="1F2DA4E5" w14:textId="77777777" w:rsidR="00370CA0" w:rsidRPr="00CF083C" w:rsidRDefault="00370CA0" w:rsidP="00370CA0">
            <w:pPr>
              <w:pStyle w:val="a5"/>
              <w:numPr>
                <w:ilvl w:val="0"/>
                <w:numId w:val="5"/>
              </w:num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Notificação do resultado da seleção</w:t>
            </w:r>
          </w:p>
        </w:tc>
        <w:tc>
          <w:tcPr>
            <w:tcW w:w="4451" w:type="dxa"/>
            <w:vAlign w:val="center"/>
          </w:tcPr>
          <w:p w14:paraId="351BAD20" w14:textId="77777777" w:rsidR="00370CA0" w:rsidRPr="00CF083C" w:rsidRDefault="00370CA0" w:rsidP="00067F3C">
            <w:p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Início de maio</w:t>
            </w:r>
          </w:p>
        </w:tc>
      </w:tr>
      <w:tr w:rsidR="00370CA0" w:rsidRPr="00EE581A" w14:paraId="1AAE820B" w14:textId="77777777" w:rsidTr="00067F3C">
        <w:tc>
          <w:tcPr>
            <w:tcW w:w="5529" w:type="dxa"/>
          </w:tcPr>
          <w:p w14:paraId="3FE19649" w14:textId="77777777" w:rsidR="00370CA0" w:rsidRPr="00CF083C" w:rsidRDefault="00370CA0" w:rsidP="00370CA0">
            <w:pPr>
              <w:pStyle w:val="a5"/>
              <w:numPr>
                <w:ilvl w:val="0"/>
                <w:numId w:val="5"/>
              </w:num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Inscrição na universidade desejada</w:t>
            </w:r>
          </w:p>
        </w:tc>
        <w:tc>
          <w:tcPr>
            <w:tcW w:w="4451" w:type="dxa"/>
            <w:vAlign w:val="center"/>
          </w:tcPr>
          <w:p w14:paraId="4C4F564C" w14:textId="77777777" w:rsidR="00370CA0" w:rsidRPr="00CF083C" w:rsidRDefault="00370CA0" w:rsidP="00067F3C">
            <w:p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Meados junho </w:t>
            </w:r>
          </w:p>
        </w:tc>
      </w:tr>
      <w:tr w:rsidR="00370CA0" w:rsidRPr="005B1A8A" w14:paraId="720C0EB0" w14:textId="77777777" w:rsidTr="00067F3C">
        <w:tc>
          <w:tcPr>
            <w:tcW w:w="5529" w:type="dxa"/>
          </w:tcPr>
          <w:p w14:paraId="33BFB112" w14:textId="77777777" w:rsidR="00370CA0" w:rsidRPr="00CF083C" w:rsidRDefault="00370CA0" w:rsidP="00370CA0">
            <w:pPr>
              <w:pStyle w:val="a5"/>
              <w:numPr>
                <w:ilvl w:val="0"/>
                <w:numId w:val="5"/>
              </w:num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Notificação </w:t>
            </w: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de </w:t>
            </w: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aceite</w:t>
            </w: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 </w:t>
            </w: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d</w:t>
            </w: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a universidade</w:t>
            </w:r>
          </w:p>
        </w:tc>
        <w:tc>
          <w:tcPr>
            <w:tcW w:w="4451" w:type="dxa"/>
            <w:vAlign w:val="center"/>
          </w:tcPr>
          <w:p w14:paraId="5BF8C78B" w14:textId="77777777" w:rsidR="00370CA0" w:rsidRPr="00CF083C" w:rsidRDefault="00370CA0" w:rsidP="00067F3C">
            <w:p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Final de julho</w:t>
            </w:r>
          </w:p>
        </w:tc>
      </w:tr>
      <w:tr w:rsidR="00370CA0" w:rsidRPr="00EE581A" w14:paraId="210E73F1" w14:textId="77777777" w:rsidTr="00067F3C">
        <w:tc>
          <w:tcPr>
            <w:tcW w:w="5529" w:type="dxa"/>
          </w:tcPr>
          <w:p w14:paraId="539C650E" w14:textId="77777777" w:rsidR="00370CA0" w:rsidRPr="00CF083C" w:rsidRDefault="00370CA0" w:rsidP="00370CA0">
            <w:pPr>
              <w:pStyle w:val="a5"/>
              <w:numPr>
                <w:ilvl w:val="0"/>
                <w:numId w:val="5"/>
              </w:num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Processo de admissão na universidade</w:t>
            </w:r>
          </w:p>
        </w:tc>
        <w:tc>
          <w:tcPr>
            <w:tcW w:w="4451" w:type="dxa"/>
            <w:vAlign w:val="center"/>
          </w:tcPr>
          <w:p w14:paraId="31DDB250" w14:textId="77777777" w:rsidR="00370CA0" w:rsidRPr="00CF083C" w:rsidRDefault="00370CA0" w:rsidP="00067F3C">
            <w:p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(inicia</w:t>
            </w: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r</w:t>
            </w: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 a partir da chegada da carta de admissão)</w:t>
            </w:r>
          </w:p>
        </w:tc>
      </w:tr>
      <w:tr w:rsidR="00370CA0" w:rsidRPr="005B1A8A" w14:paraId="27FD0509" w14:textId="77777777" w:rsidTr="00067F3C">
        <w:tc>
          <w:tcPr>
            <w:tcW w:w="5529" w:type="dxa"/>
          </w:tcPr>
          <w:p w14:paraId="4282A5F7" w14:textId="77777777" w:rsidR="00370CA0" w:rsidRPr="00CF083C" w:rsidRDefault="00370CA0" w:rsidP="00370CA0">
            <w:pPr>
              <w:pStyle w:val="a5"/>
              <w:numPr>
                <w:ilvl w:val="0"/>
                <w:numId w:val="5"/>
              </w:num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Trâmite e obtenção do status de residência</w:t>
            </w:r>
          </w:p>
        </w:tc>
        <w:tc>
          <w:tcPr>
            <w:tcW w:w="4451" w:type="dxa"/>
            <w:vAlign w:val="center"/>
          </w:tcPr>
          <w:p w14:paraId="2925BE29" w14:textId="77777777" w:rsidR="00370CA0" w:rsidRPr="00CF083C" w:rsidRDefault="00370CA0" w:rsidP="00067F3C">
            <w:p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Início de julho</w:t>
            </w:r>
          </w:p>
        </w:tc>
      </w:tr>
      <w:tr w:rsidR="00370CA0" w:rsidRPr="00EE581A" w14:paraId="0DF67416" w14:textId="77777777" w:rsidTr="00067F3C">
        <w:tc>
          <w:tcPr>
            <w:tcW w:w="5529" w:type="dxa"/>
          </w:tcPr>
          <w:p w14:paraId="30B6F174" w14:textId="77777777" w:rsidR="00370CA0" w:rsidRPr="00CF083C" w:rsidRDefault="00370CA0" w:rsidP="00370CA0">
            <w:pPr>
              <w:pStyle w:val="a5"/>
              <w:numPr>
                <w:ilvl w:val="0"/>
                <w:numId w:val="5"/>
              </w:num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Envio da Notificação da Decisão de Admissão</w:t>
            </w:r>
          </w:p>
        </w:tc>
        <w:tc>
          <w:tcPr>
            <w:tcW w:w="4451" w:type="dxa"/>
            <w:vAlign w:val="center"/>
          </w:tcPr>
          <w:p w14:paraId="7559B80B" w14:textId="77777777" w:rsidR="00370CA0" w:rsidRPr="00CF083C" w:rsidRDefault="00370CA0" w:rsidP="00067F3C">
            <w:p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Início</w:t>
            </w: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 xml:space="preserve"> de setembro</w:t>
            </w:r>
          </w:p>
        </w:tc>
      </w:tr>
      <w:tr w:rsidR="00370CA0" w:rsidRPr="00EE581A" w14:paraId="59603F39" w14:textId="77777777" w:rsidTr="00067F3C">
        <w:tc>
          <w:tcPr>
            <w:tcW w:w="5529" w:type="dxa"/>
          </w:tcPr>
          <w:p w14:paraId="42D02DA9" w14:textId="77777777" w:rsidR="00370CA0" w:rsidRPr="00CF083C" w:rsidRDefault="00370CA0" w:rsidP="00370CA0">
            <w:pPr>
              <w:pStyle w:val="a5"/>
              <w:numPr>
                <w:ilvl w:val="0"/>
                <w:numId w:val="5"/>
              </w:num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>
              <w:rPr>
                <w:rFonts w:ascii="Century" w:eastAsia="ＭＳ ゴシック" w:hAnsi="Century" w:cstheme="minorHAnsi" w:hint="eastAsia"/>
                <w:sz w:val="21"/>
                <w:szCs w:val="21"/>
                <w:lang w:val="pt-BR" w:eastAsia="ja-JP"/>
              </w:rPr>
              <w:t>P</w:t>
            </w: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rovidência da passagem aérea e vinda à Okinawa</w:t>
            </w:r>
          </w:p>
        </w:tc>
        <w:tc>
          <w:tcPr>
            <w:tcW w:w="4451" w:type="dxa"/>
            <w:vAlign w:val="center"/>
          </w:tcPr>
          <w:p w14:paraId="477472AD" w14:textId="77777777" w:rsidR="00370CA0" w:rsidRPr="00CF083C" w:rsidRDefault="00370CA0" w:rsidP="00067F3C">
            <w:pPr>
              <w:tabs>
                <w:tab w:val="left" w:pos="1254"/>
              </w:tabs>
              <w:spacing w:line="276" w:lineRule="auto"/>
              <w:jc w:val="both"/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</w:pPr>
            <w:r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M</w:t>
            </w:r>
            <w:r w:rsidRPr="00CF083C">
              <w:rPr>
                <w:rFonts w:ascii="Century" w:eastAsia="ＭＳ ゴシック" w:hAnsi="Century" w:cstheme="minorHAnsi"/>
                <w:sz w:val="21"/>
                <w:szCs w:val="21"/>
                <w:lang w:val="pt-BR" w:eastAsia="ja-JP"/>
              </w:rPr>
              <w:t>eados de setembro</w:t>
            </w:r>
          </w:p>
        </w:tc>
      </w:tr>
    </w:tbl>
    <w:p w14:paraId="5C664885" w14:textId="77777777" w:rsidR="00370CA0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</w:p>
    <w:p w14:paraId="5AF8F5D9" w14:textId="77777777" w:rsidR="00370CA0" w:rsidRPr="00CF083C" w:rsidRDefault="00370CA0" w:rsidP="00370CA0">
      <w:pPr>
        <w:tabs>
          <w:tab w:val="left" w:pos="1254"/>
        </w:tabs>
        <w:spacing w:line="276" w:lineRule="auto"/>
        <w:jc w:val="both"/>
        <w:rPr>
          <w:rFonts w:ascii="Century" w:eastAsia="ＭＳ ゴシック" w:hAnsi="Century" w:cstheme="minorHAnsi"/>
          <w:sz w:val="21"/>
          <w:szCs w:val="21"/>
          <w:lang w:val="pt-BR" w:eastAsia="ja-JP"/>
        </w:rPr>
      </w:pP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*O cronograma dos pontos </w:t>
      </w:r>
      <w:r w:rsidRPr="00CF083C">
        <w:rPr>
          <w:rFonts w:ascii="ＭＳ 明朝" w:eastAsia="ＭＳ 明朝" w:hAnsi="ＭＳ 明朝" w:cs="ＭＳ 明朝" w:hint="eastAsia"/>
          <w:sz w:val="21"/>
          <w:szCs w:val="21"/>
          <w:lang w:val="pt-BR" w:eastAsia="ja-JP"/>
        </w:rPr>
        <w:t>③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a </w:t>
      </w:r>
      <w:r w:rsidRPr="00CF083C">
        <w:rPr>
          <w:rFonts w:ascii="ＭＳ 明朝" w:eastAsia="ＭＳ 明朝" w:hAnsi="ＭＳ 明朝" w:cs="ＭＳ 明朝" w:hint="eastAsia"/>
          <w:sz w:val="21"/>
          <w:szCs w:val="21"/>
          <w:lang w:val="pt-BR" w:eastAsia="ja-JP"/>
        </w:rPr>
        <w:t>⑦</w:t>
      </w:r>
      <w:r w:rsidRPr="00CF083C">
        <w:rPr>
          <w:rFonts w:ascii="Century" w:eastAsia="ＭＳ ゴシック" w:hAnsi="Century" w:cstheme="minorHAnsi"/>
          <w:sz w:val="21"/>
          <w:szCs w:val="21"/>
          <w:lang w:val="pt-BR" w:eastAsia="ja-JP"/>
        </w:rPr>
        <w:t xml:space="preserve"> pode variar dependendo a universidade e do curso escolhido pelo candidato</w:t>
      </w:r>
    </w:p>
    <w:p w14:paraId="1BFC7660" w14:textId="77777777" w:rsidR="00370CA0" w:rsidRPr="00CF083C" w:rsidRDefault="00370CA0" w:rsidP="00370CA0">
      <w:pPr>
        <w:adjustRightInd w:val="0"/>
        <w:spacing w:line="276" w:lineRule="auto"/>
        <w:rPr>
          <w:rFonts w:ascii="Century" w:eastAsia="ＭＳ ゴシック" w:hAnsi="Century" w:cs="Generic0-Regular"/>
          <w:sz w:val="21"/>
          <w:szCs w:val="21"/>
          <w:lang w:val="pt-BR" w:eastAsia="ja-JP"/>
        </w:rPr>
      </w:pPr>
    </w:p>
    <w:p w14:paraId="3F5613F9" w14:textId="77777777" w:rsidR="00BC58FC" w:rsidRPr="00370CA0" w:rsidRDefault="00BC58FC">
      <w:pPr>
        <w:rPr>
          <w:lang w:val="pt-BR"/>
        </w:rPr>
      </w:pPr>
    </w:p>
    <w:sectPr w:rsidR="00BC58FC" w:rsidRPr="00370CA0" w:rsidSect="00086A41">
      <w:pgSz w:w="11910" w:h="16840"/>
      <w:pgMar w:top="1985" w:right="1701" w:bottom="1701" w:left="1701" w:header="720" w:footer="720" w:gutter="0"/>
      <w:paperSrc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C638" w14:textId="77777777" w:rsidR="002A28EC" w:rsidRDefault="002A28EC" w:rsidP="002A28EC">
      <w:r>
        <w:separator/>
      </w:r>
    </w:p>
  </w:endnote>
  <w:endnote w:type="continuationSeparator" w:id="0">
    <w:p w14:paraId="4DDA16E1" w14:textId="77777777" w:rsidR="002A28EC" w:rsidRDefault="002A28EC" w:rsidP="002A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6765" w14:textId="77777777" w:rsidR="002A28EC" w:rsidRDefault="002A28EC" w:rsidP="002A28EC">
      <w:r>
        <w:separator/>
      </w:r>
    </w:p>
  </w:footnote>
  <w:footnote w:type="continuationSeparator" w:id="0">
    <w:p w14:paraId="003407E5" w14:textId="77777777" w:rsidR="002A28EC" w:rsidRDefault="002A28EC" w:rsidP="002A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57C20"/>
    <w:multiLevelType w:val="hybridMultilevel"/>
    <w:tmpl w:val="6E729640"/>
    <w:lvl w:ilvl="0" w:tplc="06FAEC8C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Generic2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637E"/>
    <w:multiLevelType w:val="hybridMultilevel"/>
    <w:tmpl w:val="0B062F50"/>
    <w:lvl w:ilvl="0" w:tplc="87BCC5B4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083D22"/>
    <w:multiLevelType w:val="hybridMultilevel"/>
    <w:tmpl w:val="9188B8B4"/>
    <w:lvl w:ilvl="0" w:tplc="03DC4D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6B77B2"/>
    <w:multiLevelType w:val="hybridMultilevel"/>
    <w:tmpl w:val="B860E4CE"/>
    <w:lvl w:ilvl="0" w:tplc="B5CCDDC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Generic0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50BB2"/>
    <w:multiLevelType w:val="hybridMultilevel"/>
    <w:tmpl w:val="F46EE0E4"/>
    <w:lvl w:ilvl="0" w:tplc="BC4C5D34">
      <w:start w:val="1"/>
      <w:numFmt w:val="bullet"/>
      <w:lvlText w:val=""/>
      <w:lvlJc w:val="left"/>
      <w:pPr>
        <w:ind w:left="479" w:hanging="360"/>
      </w:pPr>
      <w:rPr>
        <w:rFonts w:ascii="Wingdings" w:eastAsia="ＭＳ ゴシック" w:hAnsi="Wingdings" w:cstheme="minorHAnsi" w:hint="default"/>
      </w:rPr>
    </w:lvl>
    <w:lvl w:ilvl="1" w:tplc="0409000B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num w:numId="1" w16cid:durableId="984552592">
    <w:abstractNumId w:val="4"/>
  </w:num>
  <w:num w:numId="2" w16cid:durableId="823931314">
    <w:abstractNumId w:val="1"/>
  </w:num>
  <w:num w:numId="3" w16cid:durableId="1057585745">
    <w:abstractNumId w:val="2"/>
  </w:num>
  <w:num w:numId="4" w16cid:durableId="266693770">
    <w:abstractNumId w:val="3"/>
  </w:num>
  <w:num w:numId="5" w16cid:durableId="168867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A0"/>
    <w:rsid w:val="002A28EC"/>
    <w:rsid w:val="00370CA0"/>
    <w:rsid w:val="00B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27B77"/>
  <w15:chartTrackingRefBased/>
  <w15:docId w15:val="{E9B4AB8C-C053-48C8-B16A-3E87E9AA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CA0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370CA0"/>
    <w:pPr>
      <w:ind w:left="11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0CA0"/>
    <w:rPr>
      <w:rFonts w:ascii="PMingLiU" w:eastAsia="PMingLiU" w:hAnsi="PMingLiU" w:cs="PMingLiU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370CA0"/>
    <w:pPr>
      <w:ind w:left="119"/>
    </w:pPr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370CA0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70CA0"/>
    <w:pPr>
      <w:ind w:left="1253" w:hanging="553"/>
    </w:pPr>
  </w:style>
  <w:style w:type="table" w:styleId="a6">
    <w:name w:val="Table Grid"/>
    <w:basedOn w:val="a1"/>
    <w:uiPriority w:val="39"/>
    <w:rsid w:val="00370CA0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8EC"/>
    <w:rPr>
      <w:rFonts w:ascii="PMingLiU" w:eastAsia="PMingLiU" w:hAnsi="PMingLiU" w:cs="PMingLiU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2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8EC"/>
    <w:rPr>
      <w:rFonts w:ascii="PMingLiU" w:eastAsia="PMingLiU" w:hAnsi="PMingLiU" w:cs="PMingLiU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里那 玉城</cp:lastModifiedBy>
  <cp:revision>2</cp:revision>
  <dcterms:created xsi:type="dcterms:W3CDTF">2024-01-25T16:59:00Z</dcterms:created>
  <dcterms:modified xsi:type="dcterms:W3CDTF">2024-01-25T16:59:00Z</dcterms:modified>
</cp:coreProperties>
</file>